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9FDB48">
      <w:pPr>
        <w:pStyle w:val="9"/>
        <w:shd w:val="clear" w:color="auto" w:fill="FFFFFF"/>
        <w:spacing w:before="0" w:beforeAutospacing="0" w:after="0" w:afterAutospacing="0" w:line="800" w:lineRule="exact"/>
        <w:ind w:right="-483" w:rightChars="-230"/>
        <w:jc w:val="center"/>
        <w:rPr>
          <w:rFonts w:ascii="方正小标宋_GBK" w:eastAsia="方正小标宋_GBK"/>
          <w:b/>
          <w:color w:val="FF0000"/>
          <w:sz w:val="52"/>
          <w:szCs w:val="52"/>
        </w:rPr>
      </w:pPr>
      <w:r>
        <w:rPr>
          <w:rFonts w:hint="eastAsia" w:ascii="方正小标宋_GBK" w:eastAsia="方正小标宋_GBK"/>
          <w:b/>
          <w:color w:val="FF0000"/>
          <w:sz w:val="52"/>
          <w:szCs w:val="52"/>
        </w:rPr>
        <w:t>佳木斯大学临床医学院</w:t>
      </w:r>
    </w:p>
    <w:p w14:paraId="7310AF32">
      <w:pPr>
        <w:pStyle w:val="9"/>
        <w:shd w:val="clear" w:color="auto" w:fill="FFFFFF"/>
        <w:spacing w:before="0" w:beforeAutospacing="0" w:after="0" w:afterAutospacing="0" w:line="800" w:lineRule="exact"/>
        <w:ind w:right="-483" w:rightChars="-230"/>
        <w:jc w:val="center"/>
        <w:rPr>
          <w:rFonts w:ascii="方正小标宋_GBK" w:eastAsia="方正小标宋_GBK"/>
          <w:b/>
          <w:color w:val="FF0000"/>
          <w:sz w:val="52"/>
          <w:szCs w:val="52"/>
        </w:rPr>
      </w:pPr>
      <w:r>
        <w:rPr>
          <w:rFonts w:hint="eastAsia" w:ascii="方正小标宋_GBK" w:eastAsia="方正小标宋_GBK"/>
          <w:b/>
          <w:color w:val="FF0000"/>
          <w:sz w:val="52"/>
          <w:szCs w:val="52"/>
        </w:rPr>
        <w:t>政治理论学习资料</w:t>
      </w:r>
    </w:p>
    <w:p w14:paraId="4003E76E">
      <w:pPr>
        <w:spacing w:line="360" w:lineRule="auto"/>
        <w:ind w:right="-483" w:rightChars="-230"/>
        <w:jc w:val="cente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（2024年第</w:t>
      </w:r>
      <w:r>
        <w:rPr>
          <w:rFonts w:hint="eastAsia" w:ascii="仿宋_GB2312" w:eastAsia="仿宋_GB2312"/>
          <w:color w:val="000000" w:themeColor="text1"/>
          <w:sz w:val="32"/>
          <w:szCs w:val="32"/>
          <w:lang w:val="en-US" w:eastAsia="zh-CN"/>
          <w14:textFill>
            <w14:solidFill>
              <w14:schemeClr w14:val="tx1"/>
            </w14:solidFill>
          </w14:textFill>
        </w:rPr>
        <w:t>12</w:t>
      </w:r>
      <w:r>
        <w:rPr>
          <w:rFonts w:hint="eastAsia" w:ascii="仿宋_GB2312" w:eastAsia="仿宋_GB2312"/>
          <w:color w:val="000000" w:themeColor="text1"/>
          <w:sz w:val="32"/>
          <w:szCs w:val="32"/>
          <w14:textFill>
            <w14:solidFill>
              <w14:schemeClr w14:val="tx1"/>
            </w14:solidFill>
          </w14:textFill>
        </w:rPr>
        <w:t>期)</w:t>
      </w:r>
    </w:p>
    <w:p w14:paraId="2A6316C9">
      <w:pPr>
        <w:spacing w:line="360" w:lineRule="auto"/>
        <w:ind w:right="-483" w:rightChars="-230"/>
        <w:jc w:val="center"/>
        <w:rPr>
          <w:rFonts w:ascii="仿宋_GB2312" w:eastAsia="仿宋_GB2312"/>
          <w:b/>
          <w:bCs/>
          <w:color w:val="000000" w:themeColor="text1"/>
          <w:sz w:val="32"/>
          <w:szCs w:val="32"/>
          <w14:textFill>
            <w14:solidFill>
              <w14:schemeClr w14:val="tx1"/>
            </w14:solidFill>
          </w14:textFill>
        </w:rPr>
      </w:pPr>
      <w:r>
        <w:rPr>
          <w:rFonts w:hint="eastAsia" w:ascii="仿宋_GB2312" w:eastAsia="仿宋_GB2312"/>
          <w:color w:val="000000" w:themeColor="text1"/>
          <w:sz w:val="32"/>
          <w:szCs w:val="32"/>
          <w:u w:val="single"/>
          <w14:textFill>
            <w14:solidFill>
              <w14:schemeClr w14:val="tx1"/>
            </w14:solidFill>
          </w14:textFill>
        </w:rPr>
        <w:t>宣传统战部编2024年</w:t>
      </w:r>
      <w:r>
        <w:rPr>
          <w:rFonts w:hint="eastAsia" w:ascii="仿宋_GB2312" w:eastAsia="仿宋_GB2312"/>
          <w:color w:val="000000" w:themeColor="text1"/>
          <w:sz w:val="32"/>
          <w:szCs w:val="32"/>
          <w:u w:val="single"/>
          <w:lang w:val="en-US" w:eastAsia="zh-CN"/>
          <w14:textFill>
            <w14:solidFill>
              <w14:schemeClr w14:val="tx1"/>
            </w14:solidFill>
          </w14:textFill>
        </w:rPr>
        <w:t>12</w:t>
      </w:r>
      <w:r>
        <w:rPr>
          <w:rFonts w:hint="eastAsia" w:ascii="仿宋_GB2312" w:eastAsia="仿宋_GB2312"/>
          <w:color w:val="000000" w:themeColor="text1"/>
          <w:sz w:val="32"/>
          <w:szCs w:val="32"/>
          <w:u w:val="single"/>
          <w14:textFill>
            <w14:solidFill>
              <w14:schemeClr w14:val="tx1"/>
            </w14:solidFill>
          </w14:textFill>
        </w:rPr>
        <w:t>月</w:t>
      </w:r>
      <w:r>
        <w:rPr>
          <w:rFonts w:hint="eastAsia" w:ascii="仿宋_GB2312" w:eastAsia="仿宋_GB2312"/>
          <w:color w:val="000000" w:themeColor="text1"/>
          <w:sz w:val="32"/>
          <w:szCs w:val="32"/>
          <w:u w:val="single"/>
          <w:lang w:val="en-US" w:eastAsia="zh-CN"/>
          <w14:textFill>
            <w14:solidFill>
              <w14:schemeClr w14:val="tx1"/>
            </w14:solidFill>
          </w14:textFill>
        </w:rPr>
        <w:t>12</w:t>
      </w:r>
      <w:r>
        <w:rPr>
          <w:rFonts w:hint="eastAsia" w:ascii="仿宋_GB2312" w:eastAsia="仿宋_GB2312"/>
          <w:color w:val="000000" w:themeColor="text1"/>
          <w:sz w:val="32"/>
          <w:szCs w:val="32"/>
          <w:u w:val="single"/>
          <w14:textFill>
            <w14:solidFill>
              <w14:schemeClr w14:val="tx1"/>
            </w14:solidFill>
          </w14:textFill>
        </w:rPr>
        <w:t>日</w:t>
      </w:r>
      <w:r>
        <w:rPr>
          <w:rFonts w:hint="eastAsia" w:ascii="仿宋_GB2312" w:eastAsia="仿宋_GB2312"/>
          <w:color w:val="000000" w:themeColor="text1"/>
          <w:sz w:val="32"/>
          <w:szCs w:val="32"/>
          <w14:textFill>
            <w14:solidFill>
              <w14:schemeClr w14:val="tx1"/>
            </w14:solidFill>
          </w14:textFill>
        </w:rPr>
        <w:cr/>
      </w:r>
      <w:r>
        <w:rPr>
          <w:rFonts w:hint="eastAsia" w:ascii="仿宋_GB2312" w:eastAsia="仿宋_GB2312"/>
          <w:b/>
          <w:bCs/>
          <w:color w:val="000000" w:themeColor="text1"/>
          <w:sz w:val="32"/>
          <w:szCs w:val="32"/>
          <w14:textFill>
            <w14:solidFill>
              <w14:schemeClr w14:val="tx1"/>
            </w14:solidFill>
          </w14:textFill>
        </w:rPr>
        <w:t>目录</w:t>
      </w:r>
    </w:p>
    <w:p w14:paraId="474991E4">
      <w:pPr>
        <w:spacing w:line="360" w:lineRule="auto"/>
        <w:ind w:right="-483" w:rightChars="-230"/>
        <w:jc w:val="cente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（第一议题）</w:t>
      </w:r>
    </w:p>
    <w:p w14:paraId="7B126AEC">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450" w:beforeAutospacing="0" w:after="0" w:afterAutospacing="0"/>
        <w:ind w:leftChars="0" w:right="0" w:rightChars="0"/>
        <w:rPr>
          <w:rFonts w:hint="default" w:ascii="仿宋_GB2312" w:eastAsia="仿宋_GB2312"/>
          <w:color w:val="000000" w:themeColor="text1"/>
          <w:sz w:val="32"/>
          <w:szCs w:val="32"/>
          <w:lang w:val="en-US" w:eastAsia="zh-CN"/>
          <w14:textFill>
            <w14:solidFill>
              <w14:schemeClr w14:val="tx1"/>
            </w14:solidFill>
          </w14:textFill>
        </w:rPr>
      </w:pPr>
      <w:r>
        <w:rPr>
          <w:rFonts w:hint="eastAsia" w:ascii="仿宋_GB2312" w:eastAsia="仿宋_GB2312" w:hAnsiTheme="minorHAnsi" w:cstheme="minorBidi"/>
          <w:b w:val="0"/>
          <w:bCs w:val="0"/>
          <w:color w:val="000000" w:themeColor="text1"/>
          <w:kern w:val="2"/>
          <w:sz w:val="32"/>
          <w:szCs w:val="32"/>
          <w:lang w:val="en-US" w:eastAsia="zh-CN" w:bidi="ar-SA"/>
          <w14:textFill>
            <w14:solidFill>
              <w14:schemeClr w14:val="tx1"/>
            </w14:solidFill>
          </w14:textFill>
        </w:rPr>
        <w:t>1.增进人民健康，建设健康中国——学习《习近平关于健康中国论述摘编》</w:t>
      </w:r>
      <w:r>
        <w:rPr>
          <w:rFonts w:hint="eastAsia" w:ascii="仿宋_GB2312" w:eastAsia="仿宋_GB2312"/>
          <w:b w:val="0"/>
          <w:bCs w:val="0"/>
          <w:color w:val="000000" w:themeColor="text1"/>
          <w:sz w:val="32"/>
          <w:szCs w:val="32"/>
          <w:lang w:val="en-US" w:eastAsia="zh-CN"/>
          <w14:textFill>
            <w14:solidFill>
              <w14:schemeClr w14:val="tx1"/>
            </w14:solidFill>
          </w14:textFill>
        </w:rPr>
        <w:t xml:space="preserve">                                        </w:t>
      </w:r>
      <w:r>
        <w:rPr>
          <w:rFonts w:hint="eastAsia" w:ascii="仿宋_GB2312" w:eastAsia="仿宋_GB2312"/>
          <w:b w:val="0"/>
          <w:bCs w:val="0"/>
          <w:color w:val="000000" w:themeColor="text1"/>
          <w:sz w:val="32"/>
          <w:szCs w:val="32"/>
          <w14:textFill>
            <w14:solidFill>
              <w14:schemeClr w14:val="tx1"/>
            </w14:solidFill>
          </w14:textFill>
        </w:rPr>
        <w:t>P01</w:t>
      </w:r>
    </w:p>
    <w:p w14:paraId="6EF46BC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right="0"/>
        <w:jc w:val="both"/>
        <w:textAlignment w:val="auto"/>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2.</w:t>
      </w:r>
      <w:r>
        <w:rPr>
          <w:rFonts w:hint="eastAsia" w:ascii="仿宋_GB2312" w:eastAsia="仿宋_GB2312"/>
          <w:color w:val="000000" w:themeColor="text1"/>
          <w:sz w:val="32"/>
          <w:szCs w:val="32"/>
          <w14:textFill>
            <w14:solidFill>
              <w14:schemeClr w14:val="tx1"/>
            </w14:solidFill>
          </w14:textFill>
        </w:rPr>
        <w:t>中共中央关于在全党深入开展学习贯彻习近平新时代中国特色社会主义思想主题</w:t>
      </w:r>
      <w:r>
        <w:rPr>
          <w:rFonts w:hint="eastAsia" w:ascii="仿宋_GB2312" w:eastAsia="仿宋_GB2312"/>
          <w:color w:val="000000" w:themeColor="text1"/>
          <w:sz w:val="32"/>
          <w:szCs w:val="32"/>
          <w:lang w:val="en-US" w:eastAsia="zh-CN"/>
          <w14:textFill>
            <w14:solidFill>
              <w14:schemeClr w14:val="tx1"/>
            </w14:solidFill>
          </w14:textFill>
        </w:rPr>
        <w:t>教育</w:t>
      </w:r>
      <w:r>
        <w:rPr>
          <w:rFonts w:hint="eastAsia" w:ascii="仿宋_GB2312" w:eastAsia="仿宋_GB2312"/>
          <w:color w:val="000000" w:themeColor="text1"/>
          <w:sz w:val="32"/>
          <w:szCs w:val="32"/>
          <w14:textFill>
            <w14:solidFill>
              <w14:schemeClr w14:val="tx1"/>
            </w14:solidFill>
          </w14:textFill>
        </w:rPr>
        <w:t>的意见</w:t>
      </w:r>
      <w:r>
        <w:rPr>
          <w:rFonts w:hint="eastAsia" w:ascii="仿宋_GB2312" w:eastAsia="仿宋_GB2312"/>
          <w:color w:val="000000" w:themeColor="text1"/>
          <w:sz w:val="32"/>
          <w:szCs w:val="32"/>
          <w:lang w:val="en-US" w:eastAsia="zh-CN"/>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P</w:t>
      </w:r>
      <w:r>
        <w:rPr>
          <w:rFonts w:hint="eastAsia" w:ascii="仿宋_GB2312" w:eastAsia="仿宋_GB2312"/>
          <w:color w:val="000000" w:themeColor="text1"/>
          <w:sz w:val="32"/>
          <w:szCs w:val="32"/>
          <w:lang w:val="en-US" w:eastAsia="zh-CN"/>
          <w14:textFill>
            <w14:solidFill>
              <w14:schemeClr w14:val="tx1"/>
            </w14:solidFill>
          </w14:textFill>
        </w:rPr>
        <w:t>18</w:t>
      </w:r>
    </w:p>
    <w:p w14:paraId="175C5030">
      <w:pPr>
        <w:numPr>
          <w:ilvl w:val="0"/>
          <w:numId w:val="0"/>
        </w:numPr>
        <w:spacing w:line="360" w:lineRule="auto"/>
        <w:ind w:leftChars="0" w:right="-80" w:rightChars="-38"/>
        <w:jc w:val="left"/>
        <w:rPr>
          <w:rFonts w:hint="default" w:ascii="仿宋_GB2312" w:eastAsia="仿宋_GB2312"/>
          <w:color w:val="000000" w:themeColor="text1"/>
          <w:sz w:val="32"/>
          <w:szCs w:val="32"/>
          <w:lang w:val="en-US" w:eastAsia="zh-CN"/>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3.</w:t>
      </w:r>
      <w:r>
        <w:rPr>
          <w:rFonts w:hint="eastAsia" w:ascii="仿宋_GB2312" w:eastAsia="仿宋_GB2312"/>
          <w:color w:val="000000" w:themeColor="text1"/>
          <w:sz w:val="32"/>
          <w:szCs w:val="32"/>
          <w14:textFill>
            <w14:solidFill>
              <w14:schemeClr w14:val="tx1"/>
            </w14:solidFill>
          </w14:textFill>
        </w:rPr>
        <w:t>学习《求是》杂志发表习近平总书记重要文章《促进高质量充分就业》</w:t>
      </w:r>
      <w:r>
        <w:rPr>
          <w:rFonts w:hint="eastAsia" w:ascii="仿宋_GB2312" w:eastAsia="仿宋_GB2312"/>
          <w:color w:val="000000" w:themeColor="text1"/>
          <w:sz w:val="32"/>
          <w:szCs w:val="32"/>
          <w:lang w:val="en-US" w:eastAsia="zh-CN"/>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P</w:t>
      </w:r>
      <w:r>
        <w:rPr>
          <w:rFonts w:hint="eastAsia" w:ascii="仿宋_GB2312" w:eastAsia="仿宋_GB2312"/>
          <w:color w:val="000000" w:themeColor="text1"/>
          <w:sz w:val="32"/>
          <w:szCs w:val="32"/>
          <w:lang w:val="en-US" w:eastAsia="zh-CN"/>
          <w14:textFill>
            <w14:solidFill>
              <w14:schemeClr w14:val="tx1"/>
            </w14:solidFill>
          </w14:textFill>
        </w:rPr>
        <w:t>31</w:t>
      </w:r>
    </w:p>
    <w:p w14:paraId="602FF843">
      <w:pPr>
        <w:numPr>
          <w:ilvl w:val="0"/>
          <w:numId w:val="0"/>
        </w:numPr>
        <w:spacing w:line="360" w:lineRule="auto"/>
        <w:ind w:leftChars="0" w:right="-80" w:rightChars="-38"/>
        <w:jc w:val="left"/>
        <w:rPr>
          <w:rFonts w:hint="default" w:ascii="仿宋_GB2312" w:eastAsia="仿宋_GB2312"/>
          <w:color w:val="000000" w:themeColor="text1"/>
          <w:sz w:val="32"/>
          <w:szCs w:val="32"/>
          <w:lang w:val="en-US" w:eastAsia="zh-CN"/>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4.</w:t>
      </w:r>
      <w:r>
        <w:rPr>
          <w:rFonts w:hint="eastAsia" w:ascii="仿宋_GB2312" w:eastAsia="仿宋_GB2312"/>
          <w:color w:val="000000" w:themeColor="text1"/>
          <w:sz w:val="32"/>
          <w:szCs w:val="32"/>
          <w14:textFill>
            <w14:solidFill>
              <w14:schemeClr w14:val="tx1"/>
            </w14:solidFill>
          </w14:textFill>
        </w:rPr>
        <w:t>学习习近平对社会工作作出重要指示精神</w:t>
      </w:r>
      <w:r>
        <w:rPr>
          <w:rFonts w:hint="eastAsia" w:ascii="仿宋_GB2312" w:eastAsia="仿宋_GB2312"/>
          <w:color w:val="000000" w:themeColor="text1"/>
          <w:sz w:val="32"/>
          <w:szCs w:val="32"/>
          <w:lang w:val="en-US" w:eastAsia="zh-CN"/>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P</w:t>
      </w:r>
      <w:r>
        <w:rPr>
          <w:rFonts w:hint="eastAsia" w:ascii="仿宋_GB2312" w:eastAsia="仿宋_GB2312"/>
          <w:color w:val="000000" w:themeColor="text1"/>
          <w:sz w:val="32"/>
          <w:szCs w:val="32"/>
          <w:lang w:val="en-US" w:eastAsia="zh-CN"/>
          <w14:textFill>
            <w14:solidFill>
              <w14:schemeClr w14:val="tx1"/>
            </w14:solidFill>
          </w14:textFill>
        </w:rPr>
        <w:t xml:space="preserve">36             </w:t>
      </w:r>
    </w:p>
    <w:p w14:paraId="3FA6147F">
      <w:pPr>
        <w:numPr>
          <w:ilvl w:val="0"/>
          <w:numId w:val="0"/>
        </w:numPr>
        <w:spacing w:line="360" w:lineRule="auto"/>
        <w:ind w:leftChars="0" w:right="-80" w:rightChars="-38"/>
        <w:jc w:val="left"/>
        <w:rPr>
          <w:rFonts w:hint="default" w:ascii="仿宋_GB2312" w:eastAsia="仿宋_GB2312"/>
          <w:color w:val="000000" w:themeColor="text1"/>
          <w:sz w:val="32"/>
          <w:szCs w:val="32"/>
          <w:lang w:val="en-US" w:eastAsia="zh-CN"/>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 xml:space="preserve">5.学习中共中央办公厅印发的《关于进一步加强和改进流动党员管理工作的意见》                                    </w:t>
      </w:r>
      <w:r>
        <w:rPr>
          <w:rFonts w:hint="eastAsia" w:ascii="仿宋_GB2312" w:eastAsia="仿宋_GB2312"/>
          <w:color w:val="000000" w:themeColor="text1"/>
          <w:sz w:val="32"/>
          <w:szCs w:val="32"/>
          <w14:textFill>
            <w14:solidFill>
              <w14:schemeClr w14:val="tx1"/>
            </w14:solidFill>
          </w14:textFill>
        </w:rPr>
        <w:t>P</w:t>
      </w:r>
      <w:r>
        <w:rPr>
          <w:rFonts w:hint="eastAsia" w:ascii="仿宋_GB2312" w:eastAsia="仿宋_GB2312"/>
          <w:color w:val="000000" w:themeColor="text1"/>
          <w:sz w:val="32"/>
          <w:szCs w:val="32"/>
          <w:lang w:val="en-US" w:eastAsia="zh-CN"/>
          <w14:textFill>
            <w14:solidFill>
              <w14:schemeClr w14:val="tx1"/>
            </w14:solidFill>
          </w14:textFill>
        </w:rPr>
        <w:t>39</w:t>
      </w:r>
      <w:r>
        <w:rPr>
          <w:rFonts w:hint="eastAsia" w:ascii="仿宋_GB2312" w:eastAsia="仿宋_GB2312"/>
          <w:color w:val="000000" w:themeColor="text1"/>
          <w:sz w:val="32"/>
          <w:szCs w:val="32"/>
          <w14:textFill>
            <w14:solidFill>
              <w14:schemeClr w14:val="tx1"/>
            </w14:solidFill>
          </w14:textFill>
        </w:rPr>
        <w:cr/>
      </w:r>
      <w:r>
        <w:rPr>
          <w:rFonts w:hint="eastAsia" w:ascii="仿宋_GB2312" w:eastAsia="仿宋_GB2312"/>
          <w:color w:val="000000" w:themeColor="text1"/>
          <w:sz w:val="32"/>
          <w:szCs w:val="32"/>
          <w:lang w:val="en-US" w:eastAsia="zh-CN"/>
          <w14:textFill>
            <w14:solidFill>
              <w14:schemeClr w14:val="tx1"/>
            </w14:solidFill>
          </w14:textFill>
        </w:rPr>
        <w:t>6.</w:t>
      </w:r>
      <w:r>
        <w:rPr>
          <w:rFonts w:hint="eastAsia" w:ascii="仿宋_GB2312" w:eastAsia="仿宋_GB2312"/>
          <w:color w:val="000000" w:themeColor="text1"/>
          <w:sz w:val="32"/>
          <w:szCs w:val="32"/>
          <w14:textFill>
            <w14:solidFill>
              <w14:schemeClr w14:val="tx1"/>
            </w14:solidFill>
          </w14:textFill>
        </w:rPr>
        <w:t>学习省委常委会（扩大）会议精神</w:t>
      </w:r>
      <w:r>
        <w:rPr>
          <w:rFonts w:hint="eastAsia" w:ascii="仿宋_GB2312" w:eastAsia="仿宋_GB2312"/>
          <w:color w:val="000000" w:themeColor="text1"/>
          <w:sz w:val="32"/>
          <w:szCs w:val="32"/>
          <w:lang w:val="en-US" w:eastAsia="zh-CN"/>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P</w:t>
      </w:r>
      <w:r>
        <w:rPr>
          <w:rFonts w:hint="eastAsia" w:ascii="仿宋_GB2312" w:eastAsia="仿宋_GB2312"/>
          <w:color w:val="000000" w:themeColor="text1"/>
          <w:sz w:val="32"/>
          <w:szCs w:val="32"/>
          <w:lang w:val="en-US" w:eastAsia="zh-CN"/>
          <w14:textFill>
            <w14:solidFill>
              <w14:schemeClr w14:val="tx1"/>
            </w14:solidFill>
          </w14:textFill>
        </w:rPr>
        <w:t>47</w:t>
      </w:r>
    </w:p>
    <w:p w14:paraId="5ED9FDC3">
      <w:pPr>
        <w:numPr>
          <w:ilvl w:val="0"/>
          <w:numId w:val="0"/>
        </w:numPr>
        <w:spacing w:line="360" w:lineRule="auto"/>
        <w:ind w:leftChars="0" w:right="-80" w:rightChars="-38"/>
        <w:jc w:val="left"/>
        <w:rPr>
          <w:rFonts w:hint="default" w:ascii="仿宋_GB2312" w:eastAsia="仿宋_GB2312"/>
          <w:color w:val="000000" w:themeColor="text1"/>
          <w:sz w:val="32"/>
          <w:szCs w:val="32"/>
          <w:lang w:val="en-US" w:eastAsia="zh-CN"/>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7.</w:t>
      </w:r>
      <w:r>
        <w:rPr>
          <w:rFonts w:hint="eastAsia" w:ascii="仿宋_GB2312" w:eastAsia="仿宋_GB2312"/>
          <w:color w:val="000000" w:themeColor="text1"/>
          <w:sz w:val="32"/>
          <w:szCs w:val="32"/>
          <w14:textFill>
            <w14:solidFill>
              <w14:schemeClr w14:val="tx1"/>
            </w14:solidFill>
          </w14:textFill>
        </w:rPr>
        <w:t>学习中央组织部高层次专家咨询服务活动“龙江行”启动会议精神</w:t>
      </w:r>
      <w:r>
        <w:rPr>
          <w:rFonts w:hint="eastAsia" w:ascii="仿宋_GB2312" w:eastAsia="仿宋_GB2312"/>
          <w:color w:val="000000" w:themeColor="text1"/>
          <w:sz w:val="32"/>
          <w:szCs w:val="32"/>
          <w:lang w:val="en-US" w:eastAsia="zh-CN"/>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P</w:t>
      </w:r>
      <w:r>
        <w:rPr>
          <w:rFonts w:hint="eastAsia" w:ascii="仿宋_GB2312" w:eastAsia="仿宋_GB2312"/>
          <w:color w:val="000000" w:themeColor="text1"/>
          <w:sz w:val="32"/>
          <w:szCs w:val="32"/>
          <w:lang w:val="en-US" w:eastAsia="zh-CN"/>
          <w14:textFill>
            <w14:solidFill>
              <w14:schemeClr w14:val="tx1"/>
            </w14:solidFill>
          </w14:textFill>
        </w:rPr>
        <w:t>50</w:t>
      </w:r>
    </w:p>
    <w:p w14:paraId="62E4FEE3">
      <w:pPr>
        <w:numPr>
          <w:ilvl w:val="0"/>
          <w:numId w:val="0"/>
        </w:numPr>
        <w:spacing w:line="360" w:lineRule="auto"/>
        <w:ind w:left="6080" w:leftChars="0" w:right="-80" w:rightChars="-38" w:hanging="6080" w:hangingChars="1900"/>
        <w:jc w:val="left"/>
        <w:rPr>
          <w:rFonts w:hint="default" w:ascii="仿宋_GB2312" w:eastAsia="仿宋_GB2312"/>
          <w:color w:val="000000" w:themeColor="text1"/>
          <w:sz w:val="32"/>
          <w:szCs w:val="32"/>
          <w:lang w:val="en-US" w:eastAsia="zh-CN"/>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8.</w:t>
      </w:r>
      <w:r>
        <w:rPr>
          <w:rFonts w:hint="eastAsia" w:ascii="仿宋_GB2312" w:eastAsia="仿宋_GB2312"/>
          <w:color w:val="000000" w:themeColor="text1"/>
          <w:sz w:val="32"/>
          <w:szCs w:val="32"/>
          <w14:textFill>
            <w14:solidFill>
              <w14:schemeClr w14:val="tx1"/>
            </w14:solidFill>
          </w14:textFill>
        </w:rPr>
        <w:t>许勤主持召开十三届省委全面深化改革委员会第六次会议</w:t>
      </w:r>
      <w:r>
        <w:rPr>
          <w:rFonts w:hint="eastAsia" w:ascii="仿宋_GB2312" w:eastAsia="仿宋_GB2312"/>
          <w:color w:val="000000" w:themeColor="text1"/>
          <w:sz w:val="32"/>
          <w:szCs w:val="32"/>
          <w:lang w:val="en-US" w:eastAsia="zh-CN"/>
          <w14:textFill>
            <w14:solidFill>
              <w14:schemeClr w14:val="tx1"/>
            </w14:solidFill>
          </w14:textFill>
        </w:rPr>
        <w:t xml:space="preserve">P53                                         </w:t>
      </w:r>
    </w:p>
    <w:p w14:paraId="36351CC2">
      <w:pPr>
        <w:numPr>
          <w:ilvl w:val="0"/>
          <w:numId w:val="0"/>
        </w:numPr>
        <w:spacing w:line="360" w:lineRule="auto"/>
        <w:ind w:leftChars="0" w:right="-80" w:rightChars="-38"/>
        <w:jc w:val="left"/>
        <w:rPr>
          <w:rFonts w:hint="default" w:ascii="仿宋_GB2312" w:eastAsia="仿宋_GB2312"/>
          <w:color w:val="000000" w:themeColor="text1"/>
          <w:sz w:val="32"/>
          <w:szCs w:val="32"/>
          <w:lang w:val="en-US" w:eastAsia="zh-CN"/>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9.</w:t>
      </w:r>
      <w:r>
        <w:rPr>
          <w:rFonts w:hint="eastAsia" w:ascii="仿宋_GB2312" w:eastAsia="仿宋_GB2312"/>
          <w:color w:val="000000" w:themeColor="text1"/>
          <w:sz w:val="32"/>
          <w:szCs w:val="32"/>
          <w14:textFill>
            <w14:solidFill>
              <w14:schemeClr w14:val="tx1"/>
            </w14:solidFill>
          </w14:textFill>
        </w:rPr>
        <w:t>学习省委社会工作会议精神</w:t>
      </w:r>
      <w:r>
        <w:rPr>
          <w:rFonts w:hint="eastAsia" w:ascii="仿宋_GB2312" w:eastAsia="仿宋_GB2312"/>
          <w:color w:val="000000" w:themeColor="text1"/>
          <w:sz w:val="32"/>
          <w:szCs w:val="32"/>
          <w:lang w:val="en-US" w:eastAsia="zh-CN"/>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P</w:t>
      </w:r>
      <w:r>
        <w:rPr>
          <w:rFonts w:hint="eastAsia" w:ascii="仿宋_GB2312" w:eastAsia="仿宋_GB2312"/>
          <w:color w:val="000000" w:themeColor="text1"/>
          <w:sz w:val="32"/>
          <w:szCs w:val="32"/>
          <w:lang w:val="en-US" w:eastAsia="zh-CN"/>
          <w14:textFill>
            <w14:solidFill>
              <w14:schemeClr w14:val="tx1"/>
            </w14:solidFill>
          </w14:textFill>
        </w:rPr>
        <w:t>56</w:t>
      </w:r>
    </w:p>
    <w:p w14:paraId="007D18A3">
      <w:pPr>
        <w:numPr>
          <w:ilvl w:val="0"/>
          <w:numId w:val="0"/>
        </w:numPr>
        <w:spacing w:line="360" w:lineRule="auto"/>
        <w:ind w:right="-80" w:rightChars="-38"/>
        <w:jc w:val="left"/>
        <w:rPr>
          <w:rFonts w:hint="default" w:ascii="仿宋_GB2312" w:eastAsia="仿宋_GB2312"/>
          <w:color w:val="000000" w:themeColor="text1"/>
          <w:sz w:val="32"/>
          <w:szCs w:val="32"/>
          <w:lang w:val="en-US" w:eastAsia="zh-CN"/>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10.学习市委党的建设（能力作风建设、人才）工作领导小组会议精神                                              P59</w:t>
      </w:r>
    </w:p>
    <w:p w14:paraId="09A05DD0">
      <w:pPr>
        <w:numPr>
          <w:ilvl w:val="0"/>
          <w:numId w:val="0"/>
        </w:numPr>
        <w:spacing w:line="360" w:lineRule="auto"/>
        <w:ind w:right="-80" w:rightChars="-38"/>
        <w:jc w:val="left"/>
        <w:rPr>
          <w:rFonts w:hint="default" w:ascii="仿宋_GB2312" w:eastAsia="仿宋_GB2312"/>
          <w:color w:val="000000" w:themeColor="text1"/>
          <w:sz w:val="32"/>
          <w:szCs w:val="32"/>
          <w:lang w:val="en-US" w:eastAsia="zh-CN"/>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11.</w:t>
      </w:r>
      <w:r>
        <w:rPr>
          <w:rFonts w:hint="default" w:ascii="仿宋_GB2312" w:eastAsia="仿宋_GB2312"/>
          <w:color w:val="000000" w:themeColor="text1"/>
          <w:sz w:val="32"/>
          <w:szCs w:val="32"/>
          <w:lang w:val="en-US" w:eastAsia="zh-CN"/>
          <w14:textFill>
            <w14:solidFill>
              <w14:schemeClr w14:val="tx1"/>
            </w14:solidFill>
          </w14:textFill>
        </w:rPr>
        <w:t>学习全市防范应对极端天气视频调度会议精神</w:t>
      </w:r>
      <w:r>
        <w:rPr>
          <w:rFonts w:hint="eastAsia" w:ascii="仿宋_GB2312" w:eastAsia="仿宋_GB2312"/>
          <w:color w:val="000000" w:themeColor="text1"/>
          <w:sz w:val="32"/>
          <w:szCs w:val="32"/>
          <w:lang w:val="en-US" w:eastAsia="zh-CN"/>
          <w14:textFill>
            <w14:solidFill>
              <w14:schemeClr w14:val="tx1"/>
            </w14:solidFill>
          </w14:textFill>
        </w:rPr>
        <w:t xml:space="preserve">        P61</w:t>
      </w:r>
    </w:p>
    <w:p w14:paraId="0BB98291">
      <w:pPr>
        <w:jc w:val="both"/>
        <w:rPr>
          <w:rFonts w:hint="default" w:ascii="方正公文小标宋" w:hAnsi="方正公文小标宋" w:eastAsia="方正仿宋_GB2312" w:cs="方正公文小标宋"/>
          <w:b w:val="0"/>
          <w:bCs w:val="0"/>
          <w:color w:val="000000" w:themeColor="text1"/>
          <w:sz w:val="36"/>
          <w:szCs w:val="36"/>
          <w:lang w:val="en-US" w:eastAsia="zh-CN"/>
          <w14:textFill>
            <w14:solidFill>
              <w14:schemeClr w14:val="tx1"/>
            </w14:solidFill>
          </w14:textFill>
        </w:rPr>
      </w:pPr>
      <w:r>
        <w:rPr>
          <w:rFonts w:hint="eastAsia" w:ascii="仿宋_GB2312" w:eastAsia="仿宋_GB2312"/>
          <w:color w:val="000000" w:themeColor="text1"/>
          <w:sz w:val="32"/>
          <w:szCs w:val="32"/>
          <w:lang w:val="en-US" w:eastAsia="zh-CN"/>
          <w14:textFill>
            <w14:solidFill>
              <w14:schemeClr w14:val="tx1"/>
            </w14:solidFill>
          </w14:textFill>
        </w:rPr>
        <w:t>12.</w:t>
      </w:r>
      <w:r>
        <w:rPr>
          <w:rFonts w:hint="eastAsia" w:ascii="方正仿宋_GB2312" w:hAnsi="方正仿宋_GB2312" w:eastAsia="方正仿宋_GB2312" w:cs="方正仿宋_GB2312"/>
          <w:b w:val="0"/>
          <w:bCs w:val="0"/>
          <w:i w:val="0"/>
          <w:iCs w:val="0"/>
          <w:caps w:val="0"/>
          <w:color w:val="000000" w:themeColor="text1"/>
          <w:spacing w:val="0"/>
          <w:sz w:val="32"/>
          <w:szCs w:val="32"/>
          <w14:textFill>
            <w14:solidFill>
              <w14:schemeClr w14:val="tx1"/>
            </w14:solidFill>
          </w14:textFill>
        </w:rPr>
        <w:t>关于在全党大兴调查研究的工作方案</w:t>
      </w:r>
      <w:r>
        <w:rPr>
          <w:rFonts w:hint="eastAsia" w:ascii="方正仿宋_GB2312" w:hAnsi="方正仿宋_GB2312" w:eastAsia="方正仿宋_GB2312" w:cs="方正仿宋_GB2312"/>
          <w:b w:val="0"/>
          <w:bCs w:val="0"/>
          <w:i w:val="0"/>
          <w:iCs w:val="0"/>
          <w:caps w:val="0"/>
          <w:color w:val="000000" w:themeColor="text1"/>
          <w:spacing w:val="0"/>
          <w:sz w:val="32"/>
          <w:szCs w:val="32"/>
          <w:lang w:val="en-US" w:eastAsia="zh-CN"/>
          <w14:textFill>
            <w14:solidFill>
              <w14:schemeClr w14:val="tx1"/>
            </w14:solidFill>
          </w14:textFill>
        </w:rPr>
        <w:t xml:space="preserve">                </w:t>
      </w:r>
      <w:r>
        <w:rPr>
          <w:rFonts w:hint="eastAsia" w:ascii="仿宋_GB2312" w:eastAsia="仿宋_GB2312"/>
          <w:color w:val="000000" w:themeColor="text1"/>
          <w:sz w:val="32"/>
          <w:szCs w:val="32"/>
          <w:lang w:val="en-US" w:eastAsia="zh-CN"/>
          <w14:textFill>
            <w14:solidFill>
              <w14:schemeClr w14:val="tx1"/>
            </w14:solidFill>
          </w14:textFill>
        </w:rPr>
        <w:t>P63</w:t>
      </w:r>
    </w:p>
    <w:p w14:paraId="6460E708">
      <w:pPr>
        <w:spacing w:line="360" w:lineRule="auto"/>
        <w:ind w:right="-80" w:rightChars="-38" w:firstLine="1"/>
        <w:jc w:val="left"/>
        <w:rPr>
          <w:rFonts w:hint="default" w:ascii="仿宋_GB2312" w:eastAsia="仿宋_GB2312"/>
          <w:color w:val="000000" w:themeColor="text1"/>
          <w:sz w:val="32"/>
          <w:szCs w:val="32"/>
          <w:lang w:val="en-US" w:eastAsia="zh-CN"/>
          <w14:textFill>
            <w14:solidFill>
              <w14:schemeClr w14:val="tx1"/>
            </w14:solidFill>
          </w14:textFill>
        </w:rPr>
      </w:pPr>
    </w:p>
    <w:p w14:paraId="00EA2FE2">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6B00B994">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02FCB1C4">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5AC79122">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187E1FCD">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371BE78C">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47427576">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4709D308">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6B0D3BBA">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26FEABBC">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49229B87">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501933D0">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25D9DD3A">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153FA56C">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268E493B">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1B58B0D3">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1302FF18">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39059F82">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26C51E93">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19504AE2">
      <w:pPr>
        <w:spacing w:line="360" w:lineRule="auto"/>
        <w:ind w:right="-80" w:rightChars="-38" w:firstLine="1"/>
        <w:jc w:val="left"/>
        <w:rPr>
          <w:rFonts w:hint="eastAsia" w:ascii="仿宋_GB2312" w:eastAsia="仿宋_GB2312"/>
          <w:color w:val="000000" w:themeColor="text1"/>
          <w:sz w:val="32"/>
          <w:szCs w:val="32"/>
          <w14:textFill>
            <w14:solidFill>
              <w14:schemeClr w14:val="tx1"/>
            </w14:solidFill>
          </w14:textFill>
        </w:rPr>
      </w:pPr>
    </w:p>
    <w:p w14:paraId="4513DBD2">
      <w:pPr>
        <w:spacing w:line="360" w:lineRule="auto"/>
        <w:ind w:right="-80" w:rightChars="-38" w:firstLine="1"/>
        <w:jc w:val="left"/>
        <w:rPr>
          <w:rFonts w:ascii="方正小标宋简体" w:hAnsi="方正小标宋简体" w:eastAsia="方正小标宋简体" w:cs="方正小标宋简体"/>
          <w:b/>
          <w:bCs/>
          <w:color w:val="000000" w:themeColor="text1"/>
          <w:sz w:val="24"/>
          <w:szCs w:val="24"/>
          <w:shd w:val="clear" w:color="auto" w:fill="FFFFFF"/>
          <w14:textFill>
            <w14:solidFill>
              <w14:schemeClr w14:val="tx1"/>
            </w14:solidFill>
          </w14:textFill>
        </w:rPr>
      </w:pPr>
      <w:r>
        <w:rPr>
          <w:rFonts w:hint="eastAsia" w:ascii="方正小标宋简体" w:hAnsi="方正小标宋简体" w:eastAsia="方正小标宋简体" w:cs="方正小标宋简体"/>
          <w:b/>
          <w:bCs/>
          <w:color w:val="000000" w:themeColor="text1"/>
          <w:sz w:val="24"/>
          <w:szCs w:val="24"/>
          <w:shd w:val="clear" w:color="auto" w:fill="FFFFFF"/>
          <w14:textFill>
            <w14:solidFill>
              <w14:schemeClr w14:val="tx1"/>
            </w14:solidFill>
          </w14:textFill>
        </w:rPr>
        <w:t>学习材料1</w:t>
      </w:r>
    </w:p>
    <w:p w14:paraId="524FCAE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450" w:beforeAutospacing="0" w:after="0" w:afterAutospacing="0" w:line="570" w:lineRule="exact"/>
        <w:ind w:left="0" w:right="0" w:firstLine="0"/>
        <w:jc w:val="center"/>
        <w:textAlignment w:val="auto"/>
        <w:rPr>
          <w:rFonts w:hint="eastAsia" w:ascii="方正公文小标宋" w:hAnsi="方正公文小标宋" w:eastAsia="方正公文小标宋" w:cs="方正公文小标宋"/>
          <w:b w:val="0"/>
          <w:bCs w:val="0"/>
          <w:i w:val="0"/>
          <w:iCs w:val="0"/>
          <w:caps w:val="0"/>
          <w:color w:val="000000" w:themeColor="text1"/>
          <w:spacing w:val="0"/>
          <w:sz w:val="36"/>
          <w:szCs w:val="36"/>
          <w14:textFill>
            <w14:solidFill>
              <w14:schemeClr w14:val="tx1"/>
            </w14:solidFill>
          </w14:textFill>
        </w:rPr>
      </w:pPr>
      <w:r>
        <w:rPr>
          <w:rFonts w:hint="eastAsia" w:ascii="方正公文小标宋" w:hAnsi="方正公文小标宋" w:eastAsia="方正公文小标宋" w:cs="方正公文小标宋"/>
          <w:b w:val="0"/>
          <w:bCs w:val="0"/>
          <w:i w:val="0"/>
          <w:iCs w:val="0"/>
          <w:caps w:val="0"/>
          <w:color w:val="000000" w:themeColor="text1"/>
          <w:spacing w:val="0"/>
          <w:sz w:val="36"/>
          <w:szCs w:val="36"/>
          <w:shd w:val="clear" w:fill="FFFFFF"/>
          <w14:textFill>
            <w14:solidFill>
              <w14:schemeClr w14:val="tx1"/>
            </w14:solidFill>
          </w14:textFill>
        </w:rPr>
        <w:t>增进人民健康，建设健康中国——学习《习近平关于健康中国论述摘编》</w:t>
      </w:r>
    </w:p>
    <w:p w14:paraId="24FBE5A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75" w:beforeAutospacing="0" w:after="0" w:afterAutospacing="0" w:line="570" w:lineRule="exact"/>
        <w:ind w:left="0" w:right="0" w:firstLine="0"/>
        <w:jc w:val="center"/>
        <w:textAlignment w:val="auto"/>
        <w:rPr>
          <w:rFonts w:hint="eastAsia" w:ascii="方正仿宋_GB2312" w:hAnsi="方正仿宋_GB2312" w:eastAsia="方正仿宋_GB2312" w:cs="方正仿宋_GB2312"/>
          <w:b w:val="0"/>
          <w:bCs w:val="0"/>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b w:val="0"/>
          <w:bCs w:val="0"/>
          <w:i w:val="0"/>
          <w:iCs w:val="0"/>
          <w:caps w:val="0"/>
          <w:color w:val="000000" w:themeColor="text1"/>
          <w:spacing w:val="0"/>
          <w:sz w:val="32"/>
          <w:szCs w:val="32"/>
          <w:shd w:val="clear" w:fill="FFFFFF"/>
          <w14:textFill>
            <w14:solidFill>
              <w14:schemeClr w14:val="tx1"/>
            </w14:solidFill>
          </w14:textFill>
        </w:rPr>
        <w:t>中共中央党史和文献研究院</w:t>
      </w:r>
    </w:p>
    <w:p w14:paraId="267EF3B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人民健康是社会主义现代化的重要标志。党的十八大以来，以习近平同志为核心的党中央始终坚持人民至上、生命至上，把保障人民健康放在优先发展的战略位置，全面推进健康中国建设，建成世界上规模最大的医疗卫生体系，健全遍及城乡的公共卫生服务体系，我国人民健康水平显著提高。近期出版的《习近平关于健康中国论述摘编》（以下简称《摘编》）一书，分10个专题，收入习近平总书记相关重要论述292段。认真学习这些重要论述，对于推动新时代我国卫生与健康事业发展，不断为增进人民健康作出新贡献，为健康中国建设谱写新篇章，具有十分重要的意义。</w:t>
      </w:r>
    </w:p>
    <w:p w14:paraId="3B4E9EC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w:t>
      </w:r>
      <w:r>
        <w:rPr>
          <w:rStyle w:val="13"/>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一、加强党对卫生与健康工作的领导，全面推进健康中国建设</w:t>
      </w:r>
    </w:p>
    <w:p w14:paraId="3CF8D14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习近平总书记指出，人民健康是社会文明进步的基础，是民族昌盛和国家富强的重要标志，也是广大人民群众的共同追求。推进健康中国建设，是我们党对人民的郑重承诺。各级党委和政府要把这项重大民心工程摆上重要日程，强化责任担当，狠抓推动落实。《摘编》第一、二专题，集中反映了习近平总书记对这个重大问题的深刻阐述。</w:t>
      </w:r>
    </w:p>
    <w:p w14:paraId="49A4937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确保人民群众生命安全和身体健康是我们党治国理政的一项重大任务。健康是促进人的全面发展的必然要求，是经济社会发展的基础条件。在实现“两个一百年”奋斗目标的历史进程中，发展卫生健康事业始终处于基础性地位，同国家整体战略紧密衔接，发挥着重要支撑作用。习近平总书记围绕这个重大问题发表一系列重要论述，强调，保障人民生命安全和身体健康是党和国家的重要任务。没有全民健康，就没有全面小康。人民身体健康是全面建成小康社会的重要内涵，是每一个人成长和实现幸福生活的重要基础。强调，建设健康中国，最根本的是保障人民健康。这是全面建设社会主义现代化国家的一个重要方面。拥有健康的人民意味着拥有更强大的综合国力和可持续发展能力。强调，人民健康既是民生问题，也是社会政治问题。能不能给老百姓一个满意的交代，是对我们执政能力的重大考验。经过长期努力，我们显著提高了人民健康水平。党的十八大以来，以习近平同志为核心的党中央把维护人民健康摆在更加突出的位置，召开全国卫生与健康大会，确立新时代卫生与健康工作方针，印发《“健康中国2030”规划纲要》，发出建设健康中国的号召，明确了建设健康中国的大政方针和行动纲领，人民健康状况和基本医疗卫生服务的公平性可及性持续改善。人民群众身体健康，关系中华民族未来。各级党委和政府要增强责任感和紧迫感，把人民健康放在优先发展的战略地位，以普及健康生活、优化健康服务、完善健康保障、建设健康环境、发展健康产业为重点，坚持问题导向，抓紧补齐短板，加快推进健康中国建设，努力全方位、全周期保障人民健康，为实现中华民族伟大复兴的中国梦打下坚实健康基础。</w:t>
      </w:r>
    </w:p>
    <w:p w14:paraId="50DBD15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坚持中国特色卫生与健康发展道路。经过长期努力，我们成功开辟了一条符合我国国情的卫生与健康发展道路。习近平总书记指出，卫生与健康事业涉及每个人的生命安全和千家万户的幸福安康，是一项极其崇高也非常特殊的事业。在推进健康中国建设的过程中，我们要坚持中国特色卫生与健康发展道路。坚持基本医疗卫生事业的公益性。我们党是全心全意为人民服务的党，我们国家是人民当家作主的社会主义国家，这就决定了我们必须坚持基本医疗卫生事业的公益性。无论社会发展到什么程度，都要毫不动摇把公益性写在医疗卫生事业的旗帜上，不能走全盘市场化、商业化的路子。坚持提高医疗卫生服务质量和水平。基本医疗卫生服务是指医疗卫生服务中最基础最核心的部分，应该主要由政府负责保障，全体人民公平获得。基本和非基本的界限是相对的，随着经济发展、政府保障能力增强、医疗技术不断提高，基本医疗卫生服务范围可以逐步扩大，服务标准也可以逐步提高。同时，发展基本医疗卫生服务要同我国国情和发展阶段相适应，重点是保障人民群众得到基本医疗卫生服务的机会，而不是简单的平均化。坚持正确处理政府和市场关系，科学界定政府和市场的边界。在基本医疗卫生服务领域，政府要有所为，坚持政府主导，落实领导责任、保障责任、管理责任、监督责任，通过多种方式为人民提供基本医疗服务，支持基础医学研究，同时适当引入竞争机制，鼓励社会力量兴办非营利性医疗机构。在非基本医疗卫生服务领域，市场要有活力，鼓励社会力量提供服务，满足群众多样化、差异化、个性化健康需求。政府要加强规范管理，依法打击非法行医等行为，保障人民健康权益。</w:t>
      </w:r>
    </w:p>
    <w:p w14:paraId="7714B73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确立新时代卫生与健康工作方针。卫生与健康工作方针是管总的，要同一定时期人民健康需求相适应，针对一定时期卫生与健康事业发展的突出矛盾和问题。新中国成立以来，我们党提出的卫生工作方针，在不同时期为推动我国卫生与健康事业发展发挥了重要指导作用。党的十八大以来，在深入分析我国卫生与健康事业发展大势的基础上，我们党提出新形势下我国卫生与健康工作方针，即：以基层为重点，以改革创新为动力，预防为主，中西医并重，把健康融入所有政策，人民共建共享。以基层为重点，就是根据统筹城乡区域发展和城镇化建设的需要，把以农村为重点扩展到城乡整个基层，增强基层防病治病能力。以改革创新为动力，就是深化医药卫生体制改革，全力推进卫生与健康领域理论创新、制度创新、管理创新、技术创新。预防为主，中西医并重，是对长期以来实践证明行之有效的做法的坚持、继承、发展。把健康融入所有政策，人民共建共享，就是从健康影响因素的广泛性、社会性、整体性出发，更加强调政府统筹协调的责任，更加突出依靠群众，调动全社会参与的积极性、主动性、创造性。这个方针的根本点是坚持以人民为中心的发展思想，坚持为人民健康服务，这是我国卫生与健康事业必须一以贯之坚持的基本要求。</w:t>
      </w:r>
    </w:p>
    <w:p w14:paraId="0703C44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建立健全党委统一领导、党政齐抓共管的工作格局。健康问题涉及面广，宏观经济、交通、农业、教育、住房、就业等部门制定的政策都会对人民健康产生深刻影响。习近平总书记强调，保障人民健康是一个系统工程，需要长时间持续努力。各地区各部门要充分认识推进健康中国建设的重要地位和作用，建立健全党委统一领导、党政齐抓共管的工作格局，围绕党中央重大决策部署提出本地区本部门实施的具体方案和措施，建立健全推进协调机制，坚持问题导向，分阶段分步骤组织实施。要把保障人民健康作为经济社会政策的重要目标，研究制定切实可行、操作性强的配套政策。要全面建立健康影响评价评估制度，系统评估各项经济社会发展规划和政策、重大工程项目对健康的影响。要建立常态化、经常化的督查考核机制，强化激励和问责。要完善人口健康信息服务体系建设，建立互联互通的人口健康信息平台，推进健康医疗大数据应用。要重视并做好宣传舆论引导工作，积极营造全社会一起为推进健康中国建设发力的良好氛围。要善于运用法治思维和法治方式推进健康中国建设，加强卫生与健康领域综合监督执法，建立集中、统一、专业、高效的监管体系，形成政府监管、行业自律、社会监督相结合的治理格局，用法治维护好人民群众生命安全和身体健康。</w:t>
      </w:r>
    </w:p>
    <w:p w14:paraId="3CB9D1E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w:t>
      </w:r>
      <w:r>
        <w:rPr>
          <w:rStyle w:val="13"/>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二、坚持人民至上、生命至上，把保障人民健康放在优先发展的战略位置</w:t>
      </w:r>
    </w:p>
    <w:p w14:paraId="71E51AD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习近平总书记强调，人最宝贵的是生命。人民至上、生命至上，保护人民生命安全和身体健康可以不惜一切代价！健康是1，其他都是后面的0。1没有了，什么都没有了。全党全社会必须牢牢树立人民至上、生命至上理念，坚持把人民群众生命安全和身体健康放在第一位，实施健康优先发展战略，为人民群众提供全方位全周期健康服务。《摘编》第三、四专题，集中收入了习近平总书记有关精辟论述。</w:t>
      </w:r>
    </w:p>
    <w:p w14:paraId="3C21067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全方位全周期保障人民健康。随着经济社会发展水平和人民生活水平不断提高，人民群众更加重视生命质量和健康安全。习近平总书记指出，现代化最重要的指标还是人民健康，这是人民幸福生活的基础。经济要发展，健康要上去。人民群众的获得感、幸福感、安全感都离不开健康。要坚持以人民为中心的发展思想，大力发展健康事业，为广大老百姓健康服务。习近平总书记强调，建设健康中国，既要靠医疗卫生服务的“小处方”，更要靠社会整体联动的“大处方”，树立大卫生、大健康的观念，把以治病为中心转变为以人民健康为中心，关注生命全周期、健康全过程。要重视妇幼、老年人、残疾人、流动人口、低收入人群等重点人群健康。倡导优生优育，筑牢妇幼健康保障网。坚持医养结合，为老年人提供治疗期住院、康复期护理、稳定期生活照料、安宁疗护一体化的健康养老服务。重视残疾人健康，完善残疾人社会保障制度和关爱服务体系，努力实现残疾人“人人享有康复服务”的目标。以在城镇稳定就业、长期居留和新生代农业转移人口为重点，关注流动人口健康。</w:t>
      </w:r>
    </w:p>
    <w:p w14:paraId="514DA31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完善生育支持政策体系和激励机制。人口发展是关系中华民族伟大复兴的大事。习近平总书记指出，人口问题始终是我国面临的全局性、长期性、战略性问题。党的十八大以来，以习近平同志为核心的党中央站在中华民族长远发展的战略高度，作出逐步调整完善生育政策、促进人口长期均衡发展的重大决策。做好新时代人口工作，要着眼强国建设、民族复兴的战略安排，完善新时代人口发展战略，认识、适应、引领人口发展新常态，着力提高人口整体素质，努力保持适度生育水平和人口规模，加快塑造素质优良、总量充裕、结构优化、分布合理的现代化人力资源，以人口高质量发展支撑中国式现代化。把人口高质量发展同人民高品质生活紧密结合起来，把“投资于物”同“投资于人”紧密结合起来，建立健全覆盖全人群、全生命周期的人口服务体系，将婚嫁、生育、养育、教育、就业、就医、住房、养老等一体考虑，有力促进人的全面发展、全体人民共同富裕。健全人口发展支持和服务体系，完善生育支持政策体系和激励机制，大力发展普惠托育服务。积极培育新型婚育文化，加强对年轻人婚恋观、生育观、家庭观的引导，推动建设生育友好型社会。</w:t>
      </w:r>
    </w:p>
    <w:p w14:paraId="3E8D0DD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实施积极应对人口老龄化国家战略。人口老龄化是世界性问题。有效应对我国人口老龄化，事关国家发展全局，事关亿万百姓福祉。习近平总书记指出，一个社会幸福不幸福，很重要的是看老年人幸福不幸福。有效应对人口老龄化，不仅能提高老年人生活和生命质量、维护老年人尊严和权利，而且能促进经济发展、增进社会和谐。坚持党委领导、政府主导、社会参与、全民行动相结合，坚持应对人口老龄化和促进经济社会发展相结合，坚持满足老年人需求和解决人口老龄化问题相结合，努力满足老年人日益增长的物质文化需求。着力增强全社会积极应对人口老龄化的思想观念，建设具有民族特色、时代特征的孝亲敬老文化。着力完善老龄政策制度，增强政策制度的针对性、协调性、系统性。着力发展养老服务业和老龄产业，大力发展银发经济。着力发挥老年人积极作用，为老年人发挥作用创造条件。着力健全老龄工作体制机制，推动形成老龄工作大格局，构建养老、孝老、敬老政策体系和社会环境，努力实现老有所养、老有所为、老有所乐。</w:t>
      </w:r>
    </w:p>
    <w:p w14:paraId="14EE327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w:t>
      </w:r>
      <w:r>
        <w:rPr>
          <w:rStyle w:val="13"/>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三、全面深化医药卫生体制改革</w:t>
      </w:r>
    </w:p>
    <w:p w14:paraId="62449CE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推进健康中国建设，必须深化医药卫生体制改革，促进医疗、医保、医药协同发展和治理。党的十八大以来，以习近平同志为核心的党中央站位全局、着眼长远，聚焦面临的老难题和新挑战，坚持用中国式办法解决医药卫生体制改革这个世界性难题，把医药卫生体制改革纳入全面深化改革中同部署、同要求、同考核，方向正确、路径清晰、措施得力、成效显著。《摘编》第五、七、九专题，充分反映了习近平总书记对这个重大问题的系统谋划。</w:t>
      </w:r>
    </w:p>
    <w:p w14:paraId="5B96027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坚持基本医疗卫生事业的公益性，均衡布局优质医疗资源。医疗卫生服务直接关系人民身体健康。全面落实政府对公立医院的投入政策。重点用于基本医疗卫生服务，不断完善制度、扩展服务、提高质量，让广大人民群众享有公平可及、系统连续的预防、治疗、康复、健康促进等健康服务。深化以公益性为导向的公立医院改革，将公平可及、群众受益作为改革出发点和立足点，建立维护公益性、调动积极性、保障可持续的运行新机制。加强普惠和公共科技供给，发展低成本疾病防控和远程医疗技术，实现优质医疗卫生资源普惠共享。习近平总书记强调，引导医疗卫生工作重心下移、资源下沉，把健康“守门人”制度建立起来，是满足人民群众看病就医需求的治本之策。这项制度是对现有医疗卫生服务模式、就医理念、就医秩序的深刻调整，是一项基础性、长远性、系统性的制度设计。关键是要做到“四个坚持”，即坚持居民自愿、坚持基层首诊、坚持政策引导、坚持创新机制。习近平总书记指出，推进健康中国建设，要高度重视打基础、强基层工作。基层特别是贫困地区、农村、边远地区等地方的基层卫生与健康领域是薄弱环节。要发展壮大医疗卫生队伍，把工作重点放在农村和社区，提升基层卫生与健康水平。推动城乡基本公共服务均等化，提高基层防病治病和健康管理能力，为群众提供安全有效方便价廉的公共卫生和基本医疗服务，真正解决好基层群众看病难、看病贵问题。</w:t>
      </w:r>
    </w:p>
    <w:p w14:paraId="359D31E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促进医疗、医保、医药协同发展和治理。习近平总书记指出，实行医疗、医保、医药联动，是深化医药卫生体制改革的重要目标。要努力在健全分级诊疗制度、现代医院管理制度、全民医保制度、药品供应保障制度、综合监管制度等方面取得突破。加快建设分级诊疗体系，实现“小病在基层、大病到医院、康复回基层”的合理就医秩序。加快建立现代医院管理制度，推动医院管理模式和运行方式转变，显著提高医院管理的科学化、精细化、信息化水平。深化医疗服务价格改革，建立合理补偿机制，稳定调价预期，确保群众负担总体稳定、医保基金可承受、公立医疗机构健康发展可持续，提高医疗卫生为人民服务质量和水平。习近平总书记强调，全民医保是中国特色基本医疗卫生制度的基础。要抓好全民医保制度建设，加快推动城乡基本医保整合，健全医保筹资和待遇调整机制、医保支付机制、医保经办机制。常态化制度化开展药品集中带量采购，健全重特大疾病医疗保险和救助制度，深化医保基金监管制度改革，守好人民群众的“保命钱”、“救命钱”。</w:t>
      </w:r>
    </w:p>
    <w:p w14:paraId="415A00A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促进中医药传承创新发展。中医药学包含着中华民族几千年的健康养生理念及其实践经验，是中华民族的伟大创造和中国古代科学的瑰宝，也是打开中华文明宝库的钥匙。坚持中西医并重，推动中医药和西医药相互补充、协调发展，是我国卫生与健康事业的显著优势。习近平总书记指出，我们要把老祖宗留给我们的中医药宝库保护好、传承好、发展好，坚持古为今用，努力实现中医药健康养生文化的创造性转化、创新性发展，使之与现代健康理念相融相通，服务于人民健康。加强中医古籍、传统知识和诊疗技术的保护、抢救、整理。做好中医药守正创新、传承发展工作，建立符合中医药特点的服务体系、服务模式、管理模式、人才培养模式，推进中医药产业化、现代化。注重用现代科学解读中医药学原理，推动传统中医药和现代科学相结合、相促进，推动中西医药相互补充、协调发展。</w:t>
      </w:r>
    </w:p>
    <w:p w14:paraId="651B56F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着力发挥广大医务人员积极性，全心全意为人民健康服务。大爱无疆，医者仁心。长期以来，我国广大医务人员响应党的号召，弘扬敬佑生命、救死扶伤、甘于奉献、大爱无疆的精神，全心全意为人民健康服务，在疾病预防治疗、医学人才培养、医学科技发展等方面发挥了重要作用并取得了丰硕成果。习近平总书记指出，广大医务工作者是人民生命健康的守护者，是推动卫生健康事业发展的重要力量。各级党委和政府、全社会都要关心爱护医务工作者，弘扬先进事迹，加强业务培训，支持开拓创新，帮助解决困难，推动在全社会广泛形成尊医重卫的良好氛围，让广大医务工作者安心、放心、舒心从事救死扶伤的神圣事业。从提升薪酬待遇、发展空间、执业环境、社会地位等方面入手，调动广大医务人员积极性、主动性、创造性。依法严厉打击医闹和暴力伤医行为，保护医务人员安全。广大医务工作者要恪守医德医风医道，修医德、行仁术，怀救苦之心、做苍生大医，努力为人民群众提供更加优质高效的健康服务。</w:t>
      </w:r>
    </w:p>
    <w:p w14:paraId="26CE503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w:t>
      </w:r>
      <w:r>
        <w:rPr>
          <w:rStyle w:val="13"/>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四、加强公共卫生体系建设</w:t>
      </w:r>
    </w:p>
    <w:p w14:paraId="17F22F7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习近平总书记强调，我国是一个有着十四亿多人口的大国，防范化解重大疫情和重大突发公共卫生风险，始终是我们须臾不可放松的大事。要坚持预防为主，构建起强大的公共卫生体系，切实为维护人民健康提供有力保障。《摘编》第六、八专题，集中反映了习近平总书记有关重要论述。</w:t>
      </w:r>
    </w:p>
    <w:p w14:paraId="74D634A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预防是最经济最有效的健康策略。“上工治未病，不治已病。”习近平总书记强调，重视重大疾病防控，是保障人民健康的关键一环。要坚定不移贯彻预防为主方针，坚持防治结合、联防联控、群防群控，强化重点人群和重大疾病综合防控，最大程度减少人群患病，努力为人民群众提供全生命周期的卫生与健康服务。要立足更精准更有效地防，坚持常备不懈，将预防关口前移，改革完善疾病预防控制体系，完善公共卫生重大风险评估、研判、决策机制，创新医防协同机制，健全联防联控机制和重大疫情救治机制，从源头上预防和控制重大疾病，真正把问题解决在萌芽之时、成灾之前。习近平总书记强调，爱国卫生运动是我们党把群众路线运用于卫生防病工作的成功实践。新时代开展爱国卫生运动，要坚持预防为主，丰富爱国卫生工作内涵，创新方式方法，推动从环境卫生治理向全面社会健康管理转变，解决好关系人民健康的全局性、长期性问题。</w:t>
      </w:r>
    </w:p>
    <w:p w14:paraId="487AC1A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构建起强大的公共卫生体系。加强公共卫生服务体系建设、及时稳妥处置重大新发突发传染病，是国家治理体系和治理能力现代化的重要目标和任务。我国公共卫生服务体系、医疗服务体系、医疗保障体系、药品供应保障体系以及重大疫情防控与应急管理体系，总体上是有效的，但也存在一些薄弱环节。习近平总书记强调，要放眼长远，加快补齐治理体系的短板和弱项，为保障人民生命安全和身体健康筑牢制度防线。要从顶层设计上提高公共卫生体系在国家治理体系中的地位，在理顺体制机制、明确功能定位、提升专业能力等方面加大改革力度，完善重大疫情防控体制机制，健全国家公共卫生应急管理体系，健全预警响应机制，全面提升防控和救治能力，织牢织密公共卫生防护网。加大公共卫生投入力度，完善公共卫生服务项目，充实中央、省、市、县四级公共卫生机构，加强农村、社区等基层防控能力建设，加强专业人才培养和队伍建设。优化医疗资源合理布局，以城市社区和农村基层、边境口岸城市、县级医院和中医院为重点完善城乡三级医疗服务网络，提升应急医疗救治储备能力，建立健全分级、分层、分流的传染病等重大疫情救治机制，完善平战结合的疫病防控和公共卫生科研攻关体系。加快构建系统完备、科学规范、运行高效的公共卫生法律法规体系，健全权责明确、程序规范、执行有力的疫情防控执法机制，全面提高依法防控依法治理能力。</w:t>
      </w:r>
    </w:p>
    <w:p w14:paraId="697C7FD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倡导健康文明生活方式，推动全民健身和全民健康深度融合。健康既是一种权利，也是一种责任。习近平总书记指出，提高人民健康素养是提高全民健康水平最根本、最经济、最有效的措施之一。最好的医生是自己。要教育引导人民群众树立正确健康观，倡导“每个人是自己健康第一责任人”的理念，促进全社会关注健康、重视健康，提升全民健康素养，促进人民群众形成健康的行为和生活方式。躯体健康和心理健康密切相关。要重视心理健康和精神卫生，加大心理健康问题基础性研究，做好心理健康知识和心理疾病科普工作，规范发展心理治疗、心理咨询等心理健康服务。习近平总书记强调，体育是提高人民健康水平的重要途径。全民健身是全体人民增强体魄、健康生活的基础和保障。要深入实施全民健身国家战略，广泛开展全民健身运动，促进重点人群体育活动，推动全民健身和全民健康深度融合，创新全民健身体制机制，完善全民健身公共服务体系，推进全民健身生活化。特别是青少年要积极参与体育活动，努力实现德智体美劳全面发展，促进身体健康、心理健康、心灵健康。</w:t>
      </w:r>
    </w:p>
    <w:p w14:paraId="5FFF6A9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营造绿色安全健康环境。良好的生态环境是人类生存与健康的基础，只有更好平衡人与自然的关系，维护生态系统平衡，才能守护人类健康。习近平总书记指出，美丽中国就是要使祖国大好河山都健康，使中华民族世世代代都健康。环境保护和治理要以解决损害群众健康突出环境问题为重点，集中力量优先解决好细颗粒物（PM2.5）、饮用水、土壤、重金属、化学品等问题，下大气力解决老百姓“家门口”的噪声、油烟、恶臭等问题。全面改善人居环境，持续开展城乡环境卫生整洁行动，深入开展健康城市和健康村镇建设，形成健康社区、健康村镇、健康单位、健康学校、健康家庭等建设广泛开展的良好局面。习近平总书记强调，食品药品安全关系每个人身体健康和生命安全。要用最严谨的标准、最严格的监管、最严厉的处罚、最严肃的问责，严把从农田到餐桌、从实验室到医院的每一道防线，确保人民群众“舌尖上的安全”。药品安全责任重于泰山。保障药品安全是技术问题、管理工作，也是道德问题、民心工程。确保药品安全是各级党委和政府义不容辞之责，是每家制药企业都必须认真履行的社会责任。要坚决守住安全底线，使每一种药、每一粒药都安全、可靠、放心，确保群众用药安全。</w:t>
      </w:r>
    </w:p>
    <w:p w14:paraId="73D377E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w:t>
      </w:r>
      <w:r>
        <w:rPr>
          <w:rStyle w:val="13"/>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五、推动共建人类卫生健康共同体</w:t>
      </w:r>
    </w:p>
    <w:p w14:paraId="5B2301D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习近平总书记强调，人类是一个休戚与共的命运共同体。我们秉承“天下一家”的理念，不仅对中国人民生命安全和身体健康负责，也对全球公共卫生事业尽责，推动共建人类卫生健康共同体。《摘编》第十专题，对习近平总书记有关重要论述作了集中反映。</w:t>
      </w:r>
    </w:p>
    <w:p w14:paraId="6512DF4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人人享有健康是全人类共同愿景，也是共建人类命运共同体的重要组成部分。今天，人类生活的关联前所未有，同时人类面临的全球性问题数量之多、规模之大、程度之深也前所未有，各种传统安全和非传统安全问题不断带来新的考验。重大传染性疾病、气候变化等非传统安全威胁持续蔓延，给人民生命安全和身体健康带来严重威胁。习近平总书记指出，在全球性危机的惊涛骇浪里，各国不是乘坐在190多条小船上，而是乘坐在一条命运与共的大船上。小船经不起风浪，巨舰才能顶住惊涛骇浪。构建人类命运共同体是应对人类共同挑战、建设更加繁荣美好世界的人间正道。实现人人享有健康是我们共同的美好愿景。要有效凝聚各方力量和共识，交流互鉴，推动全球健康事业和健康产业发展，促进卫生健康领域国际合作，为全人类健康福祉作出贡献。中国愿同国际社会一道，密切公共卫生领域交流合作，携手应对全球性威胁和挑战，推动共建人类卫生健康共同体，为维护各国人民健康作出更大贡献。</w:t>
      </w:r>
    </w:p>
    <w:p w14:paraId="36C4CD6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完善全球卫生治理体系，携手应对公共卫生挑战。公共卫生安全是人类面临的共同挑战，需要各国携手应对。世界卫生组织是卫生领域影响最大的联合国专门机构，在全球卫生事务中发挥着领军作用。在其中，各国平等参与决策，构成了完善全球治理的重要力量。在中国卫生事业发展中，世界卫生组织给予了宝贵帮助。中国也积极参与世界卫生组织应对各项挑战的努力。习近平总书记强调，要坚持标本兼治，加强和发挥联合国和世界卫生组织作用，完善全球疾病预防控制体系。坚持共商共建共享，充分听取发展中国家意见，更好反映发展中国家合理诉求。充分利用金砖国家卫生部长会暨传统医药高级别会议、博鳌亚洲论坛全球健康论坛大会等新兴机制和平台，深化卫生健康领域交流合作，携手应对公共卫生挑战，为保障人民健康作出贡献。</w:t>
      </w:r>
    </w:p>
    <w:p w14:paraId="1AA4D10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为全人类健康福祉贡献中国智慧中国方案中国力量。人道主义是能够凝聚不同文明的最大共识。中国是国际人道主义事业的积极拥护者、参与者和贡献者。经过半个多世纪的持续努力，截至2023年，中国累计向包括非洲国家在内的76个国家和地区派遣医疗队员3万人次，累计诊治患者2.9亿人次，促进了受援国医疗卫生事业发展和人民健康水平提高。这是非常了不起的成绩。面对事关人类前途命运的世纪疫情，中国同世界各国携手合作、共克时艰，本着公开、透明、负责任的态度，积极履行国际义务，不仅保护本国人民生命安全和身体健康，而且开展了历史上规模最大的全球人道主义援助行动，以实际行动帮助挽救了全球成千上万人的生命，充分展示了讲信义、重情义、扬正义、守道义的大国形象，为全球抗疫贡献了智慧和力量。习近平总书记指出，我们要继续履行国际义务，全面深入参与相关国际标准、规范、指南的制定，提升我国在全球卫生治理体系中的影响力和话语权，共同构建人类卫生健康共同体。</w:t>
      </w:r>
    </w:p>
    <w:p w14:paraId="5765DD3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0" w:beforeAutospacing="0" w:after="0" w:afterAutospacing="0" w:line="570" w:lineRule="exact"/>
        <w:ind w:left="0" w:right="0" w:firstLine="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　　习近平总书记关于健康中国的重要论述，立意高远，内涵丰富，思想深刻，是习近平新时代中国特色社会主义思想的重要组成部分。我们要结合学习《摘编》，深入贯彻落实党的二十大和二十届三中全会精神，坚定不移走中国特色卫生与健康发展道路，不断提高人民健康水平，全面推进健康中国建设，努力开创我国卫生健康事业新局面。</w:t>
      </w:r>
    </w:p>
    <w:p w14:paraId="7F77582D">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left"/>
        <w:rPr>
          <w:color w:val="000000" w:themeColor="text1"/>
          <w14:textFill>
            <w14:solidFill>
              <w14:schemeClr w14:val="tx1"/>
            </w14:solidFill>
          </w14:textFill>
        </w:rPr>
      </w:pPr>
    </w:p>
    <w:p w14:paraId="073B2C82">
      <w:pPr>
        <w:pStyle w:val="9"/>
        <w:keepNext w:val="0"/>
        <w:keepLines w:val="0"/>
        <w:widowControl/>
        <w:suppressLineNumbers w:val="0"/>
        <w:shd w:val="clear" w:fill="FFFFFF"/>
        <w:spacing w:before="225" w:beforeAutospacing="0" w:after="225" w:afterAutospacing="0" w:line="510" w:lineRule="atLeast"/>
        <w:ind w:left="0" w:right="0" w:firstLine="420"/>
        <w:jc w:val="left"/>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p>
    <w:p w14:paraId="1BAF89C4">
      <w:pPr>
        <w:pStyle w:val="9"/>
        <w:keepNext w:val="0"/>
        <w:keepLines w:val="0"/>
        <w:widowControl/>
        <w:suppressLineNumbers w:val="0"/>
        <w:shd w:val="clear" w:fill="FFFFFF"/>
        <w:spacing w:before="225" w:beforeAutospacing="0" w:after="225" w:afterAutospacing="0" w:line="510" w:lineRule="atLeast"/>
        <w:ind w:left="0" w:right="0" w:firstLine="420"/>
        <w:jc w:val="left"/>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p>
    <w:p w14:paraId="24F104DA">
      <w:pPr>
        <w:pStyle w:val="9"/>
        <w:keepNext w:val="0"/>
        <w:keepLines w:val="0"/>
        <w:widowControl/>
        <w:suppressLineNumbers w:val="0"/>
        <w:shd w:val="clear" w:fill="FFFFFF"/>
        <w:spacing w:before="225" w:beforeAutospacing="0" w:after="225" w:afterAutospacing="0" w:line="510" w:lineRule="atLeast"/>
        <w:ind w:left="0" w:right="0" w:firstLine="420"/>
        <w:jc w:val="left"/>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p>
    <w:p w14:paraId="42C59B19">
      <w:pPr>
        <w:pStyle w:val="9"/>
        <w:keepNext w:val="0"/>
        <w:keepLines w:val="0"/>
        <w:widowControl/>
        <w:suppressLineNumbers w:val="0"/>
        <w:shd w:val="clear" w:fill="FFFFFF"/>
        <w:spacing w:before="225" w:beforeAutospacing="0" w:after="225" w:afterAutospacing="0" w:line="510" w:lineRule="atLeast"/>
        <w:ind w:left="0" w:right="0" w:firstLine="420"/>
        <w:jc w:val="left"/>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p>
    <w:p w14:paraId="22C62309">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450" w:lineRule="atLeast"/>
        <w:ind w:left="0" w:right="0" w:firstLine="420"/>
        <w:rPr>
          <w:rFonts w:hint="eastAsia" w:ascii="仿宋_GB2312" w:hAnsi="仿宋_GB2312" w:eastAsia="仿宋_GB2312" w:cs="仿宋_GB2312"/>
          <w:color w:val="000000" w:themeColor="text1"/>
          <w:sz w:val="32"/>
          <w:szCs w:val="32"/>
          <w14:textFill>
            <w14:solidFill>
              <w14:schemeClr w14:val="tx1"/>
            </w14:solidFill>
          </w14:textFill>
        </w:rPr>
      </w:pPr>
    </w:p>
    <w:p w14:paraId="434AD7AE">
      <w:pPr>
        <w:spacing w:line="360" w:lineRule="auto"/>
        <w:ind w:right="-80" w:rightChars="-38" w:firstLine="1"/>
        <w:jc w:val="left"/>
        <w:rPr>
          <w:rFonts w:hint="eastAsia" w:ascii="方正小标宋简体" w:hAnsi="方正小标宋简体" w:eastAsia="方正小标宋简体" w:cs="方正小标宋简体"/>
          <w:b/>
          <w:bCs/>
          <w:color w:val="000000" w:themeColor="text1"/>
          <w:sz w:val="24"/>
          <w:szCs w:val="24"/>
          <w:shd w:val="clear" w:color="auto" w:fill="FFFFFF"/>
          <w14:textFill>
            <w14:solidFill>
              <w14:schemeClr w14:val="tx1"/>
            </w14:solidFill>
          </w14:textFill>
        </w:rPr>
      </w:pPr>
    </w:p>
    <w:p w14:paraId="3E78DADB">
      <w:pPr>
        <w:spacing w:line="360" w:lineRule="auto"/>
        <w:ind w:right="-80" w:rightChars="-38" w:firstLine="1"/>
        <w:jc w:val="left"/>
        <w:rPr>
          <w:rFonts w:hint="eastAsia" w:ascii="方正小标宋简体" w:hAnsi="方正小标宋简体" w:eastAsia="方正小标宋简体" w:cs="方正小标宋简体"/>
          <w:b/>
          <w:bCs/>
          <w:color w:val="000000" w:themeColor="text1"/>
          <w:sz w:val="24"/>
          <w:szCs w:val="24"/>
          <w:shd w:val="clear" w:color="auto" w:fill="FFFFFF"/>
          <w14:textFill>
            <w14:solidFill>
              <w14:schemeClr w14:val="tx1"/>
            </w14:solidFill>
          </w14:textFill>
        </w:rPr>
      </w:pPr>
    </w:p>
    <w:p w14:paraId="131D18AD">
      <w:pPr>
        <w:spacing w:line="360" w:lineRule="auto"/>
        <w:ind w:right="-80" w:rightChars="-38" w:firstLine="1"/>
        <w:jc w:val="left"/>
        <w:rPr>
          <w:rFonts w:hint="eastAsia" w:ascii="方正小标宋简体" w:hAnsi="方正小标宋简体" w:eastAsia="方正小标宋简体" w:cs="方正小标宋简体"/>
          <w:b/>
          <w:bCs/>
          <w:color w:val="000000" w:themeColor="text1"/>
          <w:sz w:val="24"/>
          <w:szCs w:val="24"/>
          <w:shd w:val="clear" w:color="auto" w:fill="FFFFFF"/>
          <w:lang w:val="en-US" w:eastAsia="zh-CN"/>
          <w14:textFill>
            <w14:solidFill>
              <w14:schemeClr w14:val="tx1"/>
            </w14:solidFill>
          </w14:textFill>
        </w:rPr>
      </w:pPr>
      <w:r>
        <w:rPr>
          <w:rFonts w:hint="eastAsia" w:ascii="方正小标宋简体" w:hAnsi="方正小标宋简体" w:eastAsia="方正小标宋简体" w:cs="方正小标宋简体"/>
          <w:b/>
          <w:bCs/>
          <w:color w:val="000000" w:themeColor="text1"/>
          <w:sz w:val="24"/>
          <w:szCs w:val="24"/>
          <w:shd w:val="clear" w:color="auto" w:fill="FFFFFF"/>
          <w14:textFill>
            <w14:solidFill>
              <w14:schemeClr w14:val="tx1"/>
            </w14:solidFill>
          </w14:textFill>
        </w:rPr>
        <w:t>学习材料</w:t>
      </w:r>
      <w:r>
        <w:rPr>
          <w:rFonts w:hint="eastAsia" w:ascii="方正小标宋简体" w:hAnsi="方正小标宋简体" w:eastAsia="方正小标宋简体" w:cs="方正小标宋简体"/>
          <w:b/>
          <w:bCs/>
          <w:color w:val="000000" w:themeColor="text1"/>
          <w:sz w:val="24"/>
          <w:szCs w:val="24"/>
          <w:shd w:val="clear" w:color="auto" w:fill="FFFFFF"/>
          <w:lang w:val="en-US" w:eastAsia="zh-CN"/>
          <w14:textFill>
            <w14:solidFill>
              <w14:schemeClr w14:val="tx1"/>
            </w14:solidFill>
          </w14:textFill>
        </w:rPr>
        <w:t>2</w:t>
      </w:r>
    </w:p>
    <w:p w14:paraId="3C193A3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right="0" w:firstLine="720" w:firstLineChars="200"/>
        <w:jc w:val="center"/>
        <w:textAlignment w:val="auto"/>
        <w:rPr>
          <w:rStyle w:val="13"/>
          <w:rFonts w:ascii="微软雅黑" w:hAnsi="微软雅黑" w:eastAsia="微软雅黑" w:cs="微软雅黑"/>
          <w:i w:val="0"/>
          <w:iCs w:val="0"/>
          <w:caps w:val="0"/>
          <w:color w:val="000000" w:themeColor="text1"/>
          <w:spacing w:val="0"/>
          <w:sz w:val="30"/>
          <w:szCs w:val="30"/>
          <w14:textFill>
            <w14:solidFill>
              <w14:schemeClr w14:val="tx1"/>
            </w14:solidFill>
          </w14:textFill>
        </w:rPr>
      </w:pPr>
      <w:r>
        <w:rPr>
          <w:rStyle w:val="13"/>
          <w:rFonts w:hint="eastAsia" w:ascii="方正公文小标宋" w:hAnsi="方正公文小标宋" w:eastAsia="方正公文小标宋" w:cs="方正公文小标宋"/>
          <w:b w:val="0"/>
          <w:bCs/>
          <w:i w:val="0"/>
          <w:iCs w:val="0"/>
          <w:caps w:val="0"/>
          <w:color w:val="000000" w:themeColor="text1"/>
          <w:spacing w:val="0"/>
          <w:sz w:val="36"/>
          <w:szCs w:val="36"/>
          <w14:textFill>
            <w14:solidFill>
              <w14:schemeClr w14:val="tx1"/>
            </w14:solidFill>
          </w14:textFill>
        </w:rPr>
        <w:t>中共中央关于在全党深入开展学习贯彻习近平新时代中国特色社会主义思想主题教育的意见</w:t>
      </w:r>
    </w:p>
    <w:p w14:paraId="7B9AABCB">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345" w:beforeAutospacing="0" w:after="0" w:afterAutospacing="0" w:line="570" w:lineRule="atLeast"/>
        <w:ind w:left="0" w:right="0" w:firstLine="0"/>
        <w:jc w:val="center"/>
        <w:rPr>
          <w:rFonts w:hint="eastAsia" w:ascii="方正楷体_GB2312" w:hAnsi="方正楷体_GB2312" w:eastAsia="方正楷体_GB2312" w:cs="方正楷体_GB2312"/>
          <w:i w:val="0"/>
          <w:iCs w:val="0"/>
          <w:caps w:val="0"/>
          <w:color w:val="000000" w:themeColor="text1"/>
          <w:spacing w:val="0"/>
          <w:sz w:val="28"/>
          <w:szCs w:val="28"/>
          <w14:textFill>
            <w14:solidFill>
              <w14:schemeClr w14:val="tx1"/>
            </w14:solidFill>
          </w14:textFill>
        </w:rPr>
      </w:pPr>
      <w:r>
        <w:rPr>
          <w:rFonts w:hint="eastAsia" w:ascii="方正楷体_GB2312" w:hAnsi="方正楷体_GB2312" w:eastAsia="方正楷体_GB2312" w:cs="方正楷体_GB2312"/>
          <w:i w:val="0"/>
          <w:iCs w:val="0"/>
          <w:caps w:val="0"/>
          <w:color w:val="000000" w:themeColor="text1"/>
          <w:spacing w:val="0"/>
          <w:sz w:val="28"/>
          <w:szCs w:val="28"/>
          <w14:textFill>
            <w14:solidFill>
              <w14:schemeClr w14:val="tx1"/>
            </w14:solidFill>
          </w14:textFill>
        </w:rPr>
        <w:t>（2023年4月1日）</w:t>
      </w:r>
    </w:p>
    <w:p w14:paraId="6D45993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根据党的二十大部署，党中央决定，以县处级以上领导干部为重点在全党深入开展学习贯彻习近平新时代中国特色社会主义思想主题教育，用党的创新理论统一思想、统一意志、统一行动，弘扬伟大建党精神，牢记“三个务必”，推动全党为全面建设社会主义现代化国家、全面推进中华民族伟大复兴而团结奋斗。</w:t>
      </w:r>
    </w:p>
    <w:p w14:paraId="1127842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left="0" w:righ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Style w:val="13"/>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一、重大意义</w:t>
      </w:r>
    </w:p>
    <w:p w14:paraId="0E439FE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习近平新时代中国特色社会主义思想是当代中国马克思主义、二十一世纪马克思主义，是中华文化和中国精神的时代精华，是党和人民实践经验和集体智慧的结晶，是中国特色社会主义理论体系的重要组成部分，是全党全国各族人民为实现中华民族伟大复兴而奋斗的行动指南，必须长期坚持并不断发展。新时代10年伟大变革，是全党全国各族人民一道拼出来、干出来、奋斗出来的，最根本在于有习近平总书记掌舵领航，有习近平新时代中国特色社会主义思想科学指引。实践充分证明，“两个确立”是党在新时代取得的重大政治成果，是推动党和国家事业取得历史性成就、发生历史性变革的决定性因素，是战胜一切艰难险阻、应对一切不确定性的最大确定性、最大底气、最大保证。</w:t>
      </w:r>
    </w:p>
    <w:p w14:paraId="58A5CD1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开展学习贯彻习近平新时代中国特色社会主义思想主题教育，坚持不懈用习近平新时代中国特色社会主义思想凝心铸魂，切实加强党的思想建设，对于推动全党更加深刻领悟“两个确立”的决定性意义，更加自觉增强“四个意识”、坚定“四个自信”、做到“两个维护”，始终在思想上政治上行动上同以习近平同志为核心的党中央保持高度一致，具有十分重大的意义。</w:t>
      </w:r>
    </w:p>
    <w:p w14:paraId="556B091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党的二十大描绘了全面建设社会主义现代化国家、全面推进中华民族伟大复兴的宏伟蓝图。开展主题教育，是推动贯彻党的二十大战略部署的有力举措，是深入推进新时代党的建设新的伟大工程的重大部署，对于贯彻新发展理念、构建新发展格局、推动高质量发展，推进中国式现代化，推进党的自我革命、时刻保持解决大党独有难题的清醒和坚定，始终与人民同心，保持党的先进性和纯洁性，使全党更加紧密地团结在以习近平同志为核心的党中央周围，完成党在新时代新征程的使命任务，具有十分重大的意义。</w:t>
      </w:r>
    </w:p>
    <w:p w14:paraId="7BC7C67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left="0" w:righ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Style w:val="13"/>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二、目标要求</w:t>
      </w:r>
    </w:p>
    <w:p w14:paraId="367C56D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开展主题教育，总要求是“学思想、强党性、重实践、建新功”，根本任务是坚持学思用贯通、知信行统一，把习近平新时代中国特色社会主义思想转化为坚定理想、锤炼党性和指导实践、推动工作的强大力量，使全党始终保持统一的思想、坚定的意志、协调的行动、强大的战斗力，努力在以学铸魂、以学增智、以学正风、以学促干方面取得实实在在的成效。具体达到以下目标。</w:t>
      </w:r>
    </w:p>
    <w:p w14:paraId="7105D9D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1. 凝心铸魂筑牢根本。全面、系统、深入学习习近平新时代中国特色社会主义思想，完整准确掌握这一重要思想的主要内容，全面把握这一重要思想的世界观、方法论和贯穿其中的立场观点方法，深刻理解这一重要思想的道理学理哲理，推动党员、干部真学真懂真信真用，推动学习往深里走、往实里走、往心里走，提高思想觉悟，切实做到筑牢信仰之基、补足精神之钙、把稳思想之舵。</w:t>
      </w:r>
    </w:p>
    <w:p w14:paraId="4A1D58A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2. 锤炼品格强化忠诚。深刻领悟“两个确立”的决定性意义，增强忠诚核心、拥戴核心、维护核心、捍卫核心的政治自觉、思想自觉、行动自觉，不断提高政治判断力、政治领悟力、政治执行力，始终忠诚于党、忠诚于人民、忠诚于马克思主义，真心爱党、时刻忧党、坚定护党、全力兴党。</w:t>
      </w:r>
    </w:p>
    <w:p w14:paraId="0865F12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3. 实干担当促进发展。突出实践导向，真抓实干、务求实效，紧紧围绕新时代新征程党的中心任务，胸怀“国之大者”，牢固树立正确的权力观、政绩观、事业观，增强推动高质量发展本领、服务群众本领、防范化解风险本领，敢于斗争、勇于负责，聚焦问题、知难而进，以“时时放心不下”的责任感、积极担当作为的精气神为党和人民履好职、尽好责，以新气象新作为推动高质量发展取得新成效，依靠顽强斗争打开事业发展新天地。</w:t>
      </w:r>
    </w:p>
    <w:p w14:paraId="04533B1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4. 践行宗旨为民造福。坚持人民至上，一切为了人民、一切依靠人民，始终同人民同呼吸、共命运、心连心，把为民办实事作为重要内容，以群众满意不满意作为根本评判标准，紧紧抓住人民群众最关心最直接最现实的利益问题，把惠民生、暖民心、顺民意的工作做到群众心坎上，不断增强人民群众的获得感、幸福感、安全感，让现代化建设成果更多更公平惠及全体人民。</w:t>
      </w:r>
    </w:p>
    <w:p w14:paraId="361D79B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5. 廉洁奉公树立新风。坚持以党性立身做事，增强纪律意识、规矩意识，践行“三严三实”，严格落实中央八项规定及其实施细则精神，持续纠治“四风”，把纠治形式主义、官僚主义摆在更加突出位置，坚决反对特权思想和特权现象，做到公正用权、依法用权、为民用权、廉洁用权，推动形成清清爽爽的同志关系、规规矩矩的上下级关系、亲清统一的新型政商关系，当好良好政治生态和社会风气的引领者、营造者、维护者，树立求真务实、团结奋斗的时代新风。</w:t>
      </w:r>
    </w:p>
    <w:p w14:paraId="1C41A1B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主题教育坚持目标导向和问题导向相统一，着力解决6个方面的突出问题。理论学习方面，主要是学风不纯不正，学习不走心不深入不系统，用党的创新理论指导实践、解决问题存在差距和不足；政治素质方面，主要是政治判断力、政治领悟力、政治执行力不够强，信仰信念淡化，贯彻落实党中央决策部署和习近平总书记重要指示批示精神有令不行、有禁不止，做选择、搞变通、打折扣、不到位，不顾大局、搞部门和地方保护主义；能力本领方面，主要是新发展理念树得不牢，推动高质量发展、做好群众工作、应对风险挑战的本领不够强，缺乏及时发现和解决自身存在问题的意识和能力；担当作为方面，主要是干事创业精气神不足，缺乏担责意识，缺乏斗争精神，遇事明哲保身，“躺平”不作为，不敢动真碰硬，不敢攻坚克难，存在思维惯性和路径依赖，瞻前顾后、畏首畏尾，上推下卸、推拖躲绕，奉行利己主义；工作作风方面，主要是宗旨意识和群众感情淡漠，脱离群众、脱离实际，调查研究不经常、不深入，对迅速变化的客观实际和群众冷暖了解不深、感知不真，落实党中央决策部署简单化、“一刀切”，照抄照搬、上下一般粗，报喜不报忧，弄虚作假、搞花架子，搞形式主义、官僚主义，存在特权思想和特权行为；廉洁自律方面，主要是纪法意识淡薄，对党规党纪不上心、不了解、不掌握，运用法治思维和法治方式开展工作的意识不强，顶风违纪现象仍有发生，利用权力和影响力谋私贪腐，存在损害群众利益的腐败问题等。</w:t>
      </w:r>
    </w:p>
    <w:p w14:paraId="6D80A28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left="0" w:righ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Style w:val="13"/>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三、工作安排</w:t>
      </w:r>
    </w:p>
    <w:p w14:paraId="5962475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中央政治局就学习贯彻习近平新时代中国特色社会主义思想举行集体学习，深入开展调查研究，统筹和加强工作指导，示范带动和推进全党主题教育深入开展。全国人大常委会党组、国务院党组、全国政协党组，结合各自实际开展主题教育。</w:t>
      </w:r>
    </w:p>
    <w:p w14:paraId="5372413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主题教育自上而下分两批进行。第一批包括中央和国家机关及其直属单位、省（自治区、直辖市）和副省级城市机关及其直属单位，中管金融企业、中管企业、中管高校，从2023年4月开始，2023年8月基本结束；第二批包括省以下各级机关及其直属单位和其他基层党组织，从2023年9月开始，2024年1月基本结束。</w:t>
      </w:r>
    </w:p>
    <w:p w14:paraId="3FE38CD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主题教育不划阶段、不分环节，把理论学习、调查研究、推动发展、检视整改等贯通起来，有机融合、一体推进。</w:t>
      </w:r>
    </w:p>
    <w:p w14:paraId="043626C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1. 理论学习。全面深入学习贯彻习近平新时代中国特色社会主义思想，大力弘扬马克思主义学风，坚持全面系统、及时跟进，坚持多思多想、学深悟透，坚持知行合一、学以致用，坚持联系实际、立足岗位，从事什么工作就重点学什么，做到知其言更知其义、知其然更知其所以然，在深学细照笃行中提高理论素养、坚定理想信念、升华觉悟境界、增强能力本领，夯实坚定拥护“两个确立”、坚决做到“两个维护”的思想根基。</w:t>
      </w:r>
    </w:p>
    <w:p w14:paraId="0B40DA7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坚持读原著学原文悟原理，认真研读党的二十大报告和党章，学习《习近平著作选读》、《习近平新时代中国特色社会主义思想专题摘编》等，全面学习领会习近平新时代中国特色社会主义思想的科学体系、核心要义、实践要求，把握好这一重要思想的世界观和方法论，坚持好、运用好贯穿其中的立场观点方法。结合工作实际和职责任务，深入学习习近平总书记关于本地区本部门本领域的重要讲话和重要指示批示精神，跟进学习习近平总书记最新重要讲话和文章。认真学习中国式现代化理论，围绕统筹推进“五位一体”总体布局和协调推进“四个全面”战略布局，有侧重地进行研读，突出对贯彻新发展理念、构建新发展格局、推动高质量发展的理解掌握。</w:t>
      </w:r>
    </w:p>
    <w:p w14:paraId="648A9F2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党委（党组）要加强集中学习，组织举办读书班，时间不少于一周。党委（党组）理论学习中心组结合本地区本部门本单位实际列出若干专题，组织党员领导干部联系思想和工作实际，深入研讨，交流运用党的创新理论解决实际问题的具体案例和体会，提出改进工作的思路措施。领导班子成员要结合学习体会和实际工作讲专题党课，主要负责同志带头讲，其他班子成员到分管领域、部门等基层单位或所在党支部讲。党员领导干部要把学习作为一种生活态度、一种工作责任、一种精神追求，抓好个人自学。</w:t>
      </w:r>
    </w:p>
    <w:p w14:paraId="24236C3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党支部依托“三会一课”、主题党日，通过交流研讨、宣讲阐释、案例教学、线上培训等方式组织党员学习，深刻领悟习近平新时代中国特色社会主义思想的真理力量和实践伟力。结合常态化党史学习教育，运用红色教育资源和党性教育基地开展学习，砥砺理想信念和初心使命。注重抓好青年党员、离退休干部职工党员和流动党员的学习。坚持以党内教育引导和带动全社会的学习，让党的创新理论“飞入寻常百姓家”。</w:t>
      </w:r>
    </w:p>
    <w:p w14:paraId="232020E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2. 调查研究。要按照党中央关于在全党大兴调查研究的工作方案，组织广大党员、干部扑下身子、沉到一线接地气，掌握真实情况和民情民意，在调查研究中加深对党的创新理论的理解，运用党的创新理论研究新情况、解决新问题，使调查研究的过程成为理论学习向实践运用转化的过程，成为转变作风、增进同群众感情的过程，成为提高履职本领、增强责任担当的过程。</w:t>
      </w:r>
    </w:p>
    <w:p w14:paraId="180C8C7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县处级以上领导班子要围绕贯彻落实党中央决策部署和习近平总书记重要指示批示精神，结合职责任务，有针对性地研究确定若干调研课题，开展专题调研。领导班子成员每人领题调研，形成高质量调研成果。调研结束后，领导班子结合专题研讨，运用习近平新时代中国特色社会主义思想的立场观点方法，交流调研情况，集思广益研究对策措施，形成指导实践、推动工作的思路办法和政策举措，并抓好组织实施，真正把调研成果转化为解决问题、促进发展的实际行动。</w:t>
      </w:r>
    </w:p>
    <w:p w14:paraId="6C2193B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各级领导干部要深入农村、社区、企业、医院、学校、新经济组织、新社会组织等基层单位，摸准情况、吃透问题，问计于群众、问计于实践；要转换角色、走进群众，了解群众的烦心事操心事揪心事，发现和查找工作中的差距不足，推动解决一批发展所需、改革所急、基层所盼、民心所向的问题。开展典型案例的解剖式调研，加强督查式调研。基层党组织要利用主题党日，组织党员、干部采取走访调研等多种方式，广泛听取群众意见，真心帮助群众解决实际困难，扎实推动各项工作部署落地生效。</w:t>
      </w:r>
    </w:p>
    <w:p w14:paraId="69327E9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要多采取“四不两直”方式，多到困难多、群众意见集中、工作打不开局面的地方和单位，体察实情、解剖麻雀，把问题研究透彻、把措施提准提实。要加强工作协调和衔接，对表现在基层、根子在上面的问题，对涉及多个地区、部门和单位的问题，上下协同、一体推进解决。要制定调研计划安排，统筹确定调研时间、地点，防止扎堆调研、作秀式调研，不折腾基层、不增加基层负担，坚决克服调研中的形式主义、官僚主义。</w:t>
      </w:r>
    </w:p>
    <w:p w14:paraId="51C0D5F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3. 推动发展。紧紧围绕高质量发展这个全面建设社会主义现代化国家的首要任务，以强化理论学习指导发展实践，以深化调查研究推动解决发展难题，把学习和调研落实到完成党的二十大部署的各项工作任务中去，以推动高质量发展、提高人民生活品质的新成效检验主题教育成果。</w:t>
      </w:r>
    </w:p>
    <w:p w14:paraId="316D136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破难题、促发展。县处级以上领导班子和领导干部根据自身职责，结合理论学习和调查研究，深入查找分析在贯彻新发展理念、构建新发展格局、推动高质量发展中的问题短板及其根源，找准切入点、发力点，把本地区本部门本单位工作融入新发展格局。领导班子和领导干部要紧密结合实际，认真贯彻落实党中央关于全面建设社会主义现代化国家的战略部署，增强系统观念和大局意识，保持战略清醒、战略自信、战略主动，正确处理推进中国式现代化的一系列重大关系，做好着力扩大国内需求、深化供给侧结构性改革，加快建设现代化产业体系，全面推进乡村振兴，实施科教兴国战略、人才强国战略、创新驱动发展战略，在发展中保障和改善民生，推动绿色发展、推进美丽中国建设，推进全面依法治国，建设社会主义文化强国，维护社会稳定等方面工作，形成共促高质量发展的强大合力。紧密结合中心任务和日常工作，组织党员、干部立足岗位作贡献，积极履职尽责，勇于担当作为，以每名党员、干部本职工作水平的提升，促进本地区本部门本单位工作的高质量发展。</w:t>
      </w:r>
    </w:p>
    <w:p w14:paraId="1570C56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办实事、解民忧。牢固树立以人民为中心的发展思想，积极探索开展“民呼我为”、“接诉即办”等，解决群众急难愁盼的具体问题。聚焦解决就业、教育、医疗、托育、住房、养老等民生领域突出问题，建立民生项目清单，完善解决民生问题的制度机制。落实党员领导干部直接联系群众制度，对群众普遍关切的问题及时开题作答、解疑释惑、回应诉求。广泛开展党员志愿服务，激励党员在服务群众、奉献社会中发挥作用。</w:t>
      </w:r>
    </w:p>
    <w:p w14:paraId="09E23C7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4. 检视整改。发扬刀刃向内的自我革命精神，坚持边学习、边对照、边检视、边整改，坚持分类整改与集中整治相结合，深入查摆不足，抓好突出问题的整改整治。</w:t>
      </w:r>
    </w:p>
    <w:p w14:paraId="50B63D9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开展党性分析。领导班子对标对表习近平新时代中国特色社会主义思想，针对完整准确全面贯彻新发展理念、加快构建新发展格局、着力推动高质量发展等战略部署落实情况，党中央提出的重点任务、重点举措、重要政策、重要要求贯彻情况，属于本地区本部门本单位的职责担当情况，系统梳理调查研究发现的问题、推动发展中的问题、群众反映强烈的问题，结合巡视巡察、审计监督发现的问题，列出问题清单。党员、干部从政治、思想、能力、作风、纪律等方面进行党性分析，找准问题症结，着力从思想根源上解决问题。主题教育结束前，县处级以上领导班子召开专题民主生活会，基层党组织召开专题组织生活会，党员、干部特别是领导干部把自己摆进去、把职责摆进去、把工作摆进去，咬耳扯袖、红脸出汗，严肃认真开展批评和自我批评。</w:t>
      </w:r>
    </w:p>
    <w:p w14:paraId="6CF631C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开展整改整治。对查摆出的问题，一项一项制定整改措施，能改的马上改。一时解决不了的要明确具体措施、整改时限、责任分工，确保整改到位。各地区各部门各单位要确定若干群众反映强烈、长期没有解决的突出问题，制定专项整治方案，采取台账式管理、项目化推进的方式进行集中整治，动真碰硬、务求实效。专项整治方案及落实情况，要以适当方式向党员群众通报。上级机关要作出表率，并加强对下级机关的督促检查。</w:t>
      </w:r>
    </w:p>
    <w:p w14:paraId="67A0072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中央和国家机关各部门要按照党中央关于干部队伍教育整顿的部署安排，结合自身实际，在主题教育中切实抓好机关和系统内干部队伍教育整顿。</w:t>
      </w:r>
    </w:p>
    <w:p w14:paraId="498C153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5. 建章立制。坚持“当下改”与“长久立”相结合，对主题教育中学习贯彻习近平新时代中国特色社会主义思想的好做法好经验，及时以制度形式固定下来。同时，建立巩固深化主题教育成果的长效机制，健全学习贯彻党的创新理论的制度机制，确保常态长效。</w:t>
      </w:r>
    </w:p>
    <w:p w14:paraId="766EA64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left="0" w:righ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Style w:val="13"/>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四、组织领导</w:t>
      </w:r>
    </w:p>
    <w:p w14:paraId="0527D2F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主题教育在中央政治局常委会领导下开展。成立中央学习贯彻习近平新时代中国特色社会主义思想主题教育领导小组（以下简称中央主题教育领导小组），中央领导同志担任组长。中央主题教育领导小组下设办公室，负责日常工作。发挥中央主题教育领导小组成员单位职能作用，形成齐抓共管合力。</w:t>
      </w:r>
    </w:p>
    <w:p w14:paraId="204EE39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各级党委（党组）要高度重视、精心组织，成立相应领导机构和工作机构，党委（党组）主要负责同志要履行第一责任人职责。各级党委（党组）要将主题教育纳入巡视巡察内容，加强工作统筹衔接，协调推进。要结合本地区本部门本单位实际，统筹安排，有序推进第一批、第二批主题教育。坚持因地制宜、加强分类指导，发挥行业系统主管部门对本行业本系统的指导作用。把开展主题教育同推动中心工作结合起来，防止“两张皮”。围绕党的创新理论掌握运用、调查研究成果转化、群众急难愁盼问题解决、专项整治突出问题、党员干部群众满意程度等方面，采取述学、问卷调查、实地查看、随机走访等方式，把过程评价与总结评估结合起来，通过领导班子全面自评、指导组研判分析，评估主题教育效果。领导班子和领导干部年度考核、党组织书记抓党建述职评议考核中，要把主题教育开展情况作为重要内容。</w:t>
      </w:r>
    </w:p>
    <w:p w14:paraId="686E3CC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中央主题教育领导小组组建指导组，采取巡回指导、随机抽查、调研访谈等方式，对各地区各部门各单位开展主题教育进行督促指导；省（自治区、直辖市）党委和行业系统主管部门党组（党委）派出巡回指导组，加强对所属地区、部门和单位的督促指导，确保主题教育质量。市县两级不组建指导组。</w:t>
      </w:r>
    </w:p>
    <w:p w14:paraId="591763D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加强宣传引导，充分发挥各级党报、党刊、电视台、广播电台等宣传主渠道作用，注重运用新媒体，深入宣传党中央部署要求，宣传习近平总书记关于主题教育的重要讲话和重要指示批示精神，反映主题教育进展成效，及时选树宣传先进典型，营造良好舆论氛围。</w:t>
      </w:r>
    </w:p>
    <w:p w14:paraId="2DC0ABC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开展主题教育要务求实效，坚决反对形式主义，坚决防止“低级红”、“高级黑”。不对写读书笔记、心得体会等提出硬性要求，不随意要求基层填报材料，严格控制简报数量，严格控制网络平台载体痕迹管理。对开展主题教育消极对待、敷衍应付、搞形式主义的要严肃批评，对走形变样、问题严重的按照规定追究责任。</w:t>
      </w:r>
    </w:p>
    <w:p w14:paraId="0CBC2C6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人民解放军和武警部队学习贯彻习近平新时代中国特色社会主义思想主题教育，由中央军事委员会根据本意见作出部署，抓好组织实施。</w:t>
      </w:r>
    </w:p>
    <w:p w14:paraId="70CAFCCE">
      <w:pPr>
        <w:ind w:left="0" w:leftChars="0" w:firstLine="640" w:firstLineChars="200"/>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pPr>
    </w:p>
    <w:p w14:paraId="1213E70C">
      <w:pPr>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p>
    <w:p w14:paraId="082431CA">
      <w:pPr>
        <w:rPr>
          <w:color w:val="000000" w:themeColor="text1"/>
          <w14:textFill>
            <w14:solidFill>
              <w14:schemeClr w14:val="tx1"/>
            </w14:solidFill>
          </w14:textFill>
        </w:rPr>
      </w:pPr>
    </w:p>
    <w:p w14:paraId="75072A63">
      <w:pPr>
        <w:spacing w:line="360" w:lineRule="auto"/>
        <w:ind w:right="-80" w:rightChars="-38" w:firstLine="1"/>
        <w:jc w:val="left"/>
        <w:rPr>
          <w:rFonts w:hint="eastAsia" w:ascii="方正小标宋简体" w:hAnsi="方正小标宋简体" w:eastAsia="方正小标宋简体" w:cs="方正小标宋简体"/>
          <w:b/>
          <w:bCs/>
          <w:color w:val="000000" w:themeColor="text1"/>
          <w:sz w:val="24"/>
          <w:szCs w:val="24"/>
          <w:shd w:val="clear" w:color="auto" w:fill="FFFFFF"/>
          <w14:textFill>
            <w14:solidFill>
              <w14:schemeClr w14:val="tx1"/>
            </w14:solidFill>
          </w14:textFill>
        </w:rPr>
        <w:sectPr>
          <w:footerReference r:id="rId3" w:type="default"/>
          <w:pgSz w:w="11906" w:h="16838"/>
          <w:pgMar w:top="993" w:right="1700" w:bottom="1135" w:left="1418" w:header="851" w:footer="992" w:gutter="0"/>
          <w:pgNumType w:fmt="decimal" w:start="0"/>
          <w:cols w:space="425" w:num="1"/>
          <w:docGrid w:type="lines" w:linePitch="312" w:charSpace="0"/>
        </w:sectPr>
      </w:pPr>
    </w:p>
    <w:p w14:paraId="2D1307AF">
      <w:pPr>
        <w:spacing w:line="360" w:lineRule="auto"/>
        <w:ind w:right="-80" w:rightChars="-38" w:firstLine="1"/>
        <w:jc w:val="left"/>
        <w:rPr>
          <w:rFonts w:hint="eastAsia" w:ascii="仿宋_GB2312" w:eastAsia="方正小标宋简体" w:cs="仿宋"/>
          <w:color w:val="000000" w:themeColor="text1"/>
          <w:kern w:val="0"/>
          <w:sz w:val="32"/>
          <w:szCs w:val="32"/>
          <w:lang w:eastAsia="zh-CN"/>
          <w14:textFill>
            <w14:solidFill>
              <w14:schemeClr w14:val="tx1"/>
            </w14:solidFill>
          </w14:textFill>
        </w:rPr>
      </w:pPr>
      <w:r>
        <w:rPr>
          <w:rFonts w:hint="eastAsia" w:ascii="方正小标宋简体" w:hAnsi="方正小标宋简体" w:eastAsia="方正小标宋简体" w:cs="方正小标宋简体"/>
          <w:b/>
          <w:bCs/>
          <w:color w:val="000000" w:themeColor="text1"/>
          <w:sz w:val="24"/>
          <w:szCs w:val="24"/>
          <w:shd w:val="clear" w:color="auto" w:fill="FFFFFF"/>
          <w14:textFill>
            <w14:solidFill>
              <w14:schemeClr w14:val="tx1"/>
            </w14:solidFill>
          </w14:textFill>
        </w:rPr>
        <w:t>学习材料</w:t>
      </w:r>
      <w:r>
        <w:rPr>
          <w:rFonts w:hint="eastAsia" w:ascii="方正小标宋简体" w:hAnsi="方正小标宋简体" w:eastAsia="方正小标宋简体" w:cs="方正小标宋简体"/>
          <w:b/>
          <w:bCs/>
          <w:color w:val="000000" w:themeColor="text1"/>
          <w:sz w:val="24"/>
          <w:szCs w:val="24"/>
          <w:shd w:val="clear" w:color="auto" w:fill="FFFFFF"/>
          <w:lang w:val="en-US" w:eastAsia="zh-CN"/>
          <w14:textFill>
            <w14:solidFill>
              <w14:schemeClr w14:val="tx1"/>
            </w14:solidFill>
          </w14:textFill>
        </w:rPr>
        <w:t>3</w:t>
      </w:r>
    </w:p>
    <w:p w14:paraId="6E1E6081">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left="0" w:leftChars="0" w:right="0" w:firstLine="0" w:firstLineChars="0"/>
        <w:jc w:val="center"/>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Style w:val="13"/>
          <w:rFonts w:hint="eastAsia" w:ascii="方正公文小标宋" w:hAnsi="方正公文小标宋" w:eastAsia="方正公文小标宋" w:cs="方正公文小标宋"/>
          <w:b w:val="0"/>
          <w:bCs/>
          <w:i w:val="0"/>
          <w:iCs w:val="0"/>
          <w:caps w:val="0"/>
          <w:color w:val="000000" w:themeColor="text1"/>
          <w:spacing w:val="0"/>
          <w:sz w:val="36"/>
          <w:szCs w:val="36"/>
          <w:shd w:val="clear" w:fill="FFFFFF"/>
          <w14:textFill>
            <w14:solidFill>
              <w14:schemeClr w14:val="tx1"/>
            </w14:solidFill>
          </w14:textFill>
        </w:rPr>
        <w:t>促进高质量充分就业</w:t>
      </w:r>
    </w:p>
    <w:p w14:paraId="0F32CDF0">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left="0" w:right="0" w:firstLine="420"/>
        <w:jc w:val="center"/>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习近平</w:t>
      </w:r>
    </w:p>
    <w:p w14:paraId="3864427D">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今天进行二十届中央政治局第十四次集体学习，内容是促进高质量充分就业，目的是结合学习贯彻党的二十大精神，总结新时代就业工作成就和经验，分析当前就业形势和面临的突出问题，研究促进高质量充分就业的思路和举措。</w:t>
      </w:r>
    </w:p>
    <w:p w14:paraId="6BFC7A32">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就业是最基本的民生，事关人民群众切身利益，事关经济社会健康发展，事关国家长治久安，我们党对此历来高度重视。党的十八大以来，党中央坚持把就业工作摆在治国理政的突出位置，强化就业优先政策，健全就业促进机制，有效应对外部压力、内部困难特别是新冠疫情带来的严峻挑战，城镇新增就业年均1300万人，城镇调查失业率保持较低水平，在14亿多人口的发展中大国实现了比较充分的就业，为民生改善和经济发展提供了重要支撑。在这个过程中，我们不断深化对新时代就业工作规律的认识，积累了许多经验，主要包括：坚持党对就业工作的全面领导，坚持把就业作为民生之本，坚持实施就业优先战略，坚持依靠发展促进就业，坚持扩大就业容量和提升就业质量相结合，坚持突出抓好重点群体就业，坚持创业带动就业，坚持营造公平就业环境，坚持构建和谐劳动关系，等等。这些经验十分宝贵，要长期坚持并不断丰富发展。</w:t>
      </w:r>
    </w:p>
    <w:p w14:paraId="4A0AD702">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同时要看到，就业工作仍面临不少突出矛盾和问题。我国发展进入战略机遇和风险挑战并存、不确定难预料因素增多的时期，稳增长、稳就业的压力始终存在；人口发展少子化、老龄化、区域人口增减分化以及经济数字化转型等趋势对就业的影响逐步加深，结构性就业矛盾不断凸显；人民群众对高品质生活的需要日益增长，提升就业质量已经成为劳动者的迫切愿望。</w:t>
      </w:r>
    </w:p>
    <w:p w14:paraId="2286CE92">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党的二十大科学把握就业形势新变化，顺应人民群众新期待，着眼扎实推进高质量发展和全体人民共同富裕，作出了促进高质量充分就业的重大部署。在宏观层面，高质量充分就业主要包括就业机会充分、就业环境公平、就业结构优化、人岗匹配高效、劳动关系和谐等；在微观层面，高质量充分就业主要表现为劳动者不仅有活干，而且工作稳定、收入合理、保障可靠、职业安全等。当然，这是一个很高的要求，也是一个循序渐进的过程，必须尽力而为、量力而行；必须充分调动人民群众的积极性主动性创造性，引导大家依靠努力奋斗创造幸福生活，不能不劳而获、坐享其成。</w:t>
      </w:r>
    </w:p>
    <w:p w14:paraId="690B7A47">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促进高质量充分就业，是新时代新征程就业工作的新定位、新使命。要坚持以人民为中心的发展思想，全面贯彻劳动者自主就业、市场调节就业、政府促进就业和鼓励创业的方针，以推动高质量发展为基础，以实施就业优先战略为引领，以强化就业优先政策为抓手，以深化就业体制机制改革为动力，持续促进就业质的有效提升和量的合理增长，不断增强广大劳动者的获得感幸福感安全感，为以中国式现代化全面推进强国建设、民族复兴伟业提供有力支撑。这里，我着重强调5点。</w:t>
      </w:r>
    </w:p>
    <w:p w14:paraId="7F99157B">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第一，始终坚持就业优先。要坚定不移贯彻新发展理念，更加自觉地把高质量充分就业作为经济社会发展的优先目标，使高质量发展的过程成为就业提质扩容的过程，提高发展的就业带动力。因地制宜发展新质生产力，改造提升传统产业，培育壮大新兴产业，布局建设未来产业，完善现代化产业体系，努力创造更多高质量就业岗位。支持发展吸纳就业能力强的产业和企业，稳定和扩大就业容量。根据经济社会发展新趋势和人民群众高品质生活新期待，不断细化优化社会分工，大力发展新业态、新模式，积极挖掘、培育新的职业序列，开发新的就业增长点。要强化重大政策、重大项目、重大生产力布局对就业影响的评估，推动财政、货币、投资、消费、产业、区域等政策与就业政策协调联动、同向发力，构建就业友好型发展方式。</w:t>
      </w:r>
    </w:p>
    <w:p w14:paraId="3982BF01">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第二，着力解决结构性就业矛盾。人力资源供需不匹配，是当前我国就业领域面临的主要矛盾。解决这一矛盾，关键在于加快塑造素质优良、总量充裕、结构优化、分布合理的现代化人力资源。要适应新一轮科技革命和产业变革，科学研判人力资源发展趋势，统筹抓好教育、培训和就业，动态调整高等教育专业和资源结构布局，大力发展职业教育，健全终身职业技能培训制度，推进职普融通、产教融合、科教融汇，增强人力资源开发的前瞻性、针对性、有效性。完善供需对接机制，力求做到人岗相适、用人所长、人尽其才，提升就业质量和稳定性。加强宣传教育，引导全社会牢固树立正确就业观，营造“职业无贵贱，劳动受尊重”、“三百六十行，行行出状元”、“基层就业，同样出彩”等有利于就业创业的良好舆论氛围和包容社会环境，以择业新观念打开就业新天地。深入分析一些行业出现较大用工缺口的原因，找到有效补缺办法，从破解“有活没人干”入手，解决“有人没活干”的问题。</w:t>
      </w:r>
    </w:p>
    <w:p w14:paraId="468D3A6A">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第三，完善重点群体就业支持政策。要坚持把高校毕业生等青年群体就业作为重中之重，开发更多有利于发挥所学所长的就业岗位，鼓励青年投身重点领域、重点行业、城乡基层和中小微企业就业创业，拓宽市场化社会化就业渠道，确保青年就业水平总体平稳。结合推进新型城镇化和乡村全面振兴，坚持外出就业和就地就近就业并重，多措并举促进农民工就业，着重引导外出人才返乡、城市人才下乡创业。稳定脱贫人口务工规模和务工收入，防止因失业导致规模性返贫。加强对大龄、残疾、较长时间失业等就业困难群体的帮扶，落实就业援助措施，统筹用好公益性岗位，确保零就业家庭动态清零。做好退役军人、妇女等群体就业工作。</w:t>
      </w:r>
    </w:p>
    <w:p w14:paraId="7F79809A">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第四，深化就业体制机制改革。要充分发挥市场在人力资源配置中的决定性作用，更好发挥政府作用，着力解决制约提升就业质量、扩大就业容量、优化就业结构的卡点堵点问题。完善就业公共服务制度，打造覆盖全民、贯穿全程、辐射全域、便捷高效的全方位就业公共服务体系，提高就业公共服务可及性和均等化、专业化水平。完善促进创业带动就业的保障制度，优化创业服务，提升创业质量。健全统一规范的人力资源市场体系，营造公平就业环境，坚决破除影响劳动力、人才流动的体制机制障碍，使人人都有通过辛勤努力实现自身发展的机会。</w:t>
      </w:r>
    </w:p>
    <w:p w14:paraId="05C17E57">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第五，加强劳动者权益保障。要健全劳动法律法规，规范新就业形态劳动基准，完善社会保障体系，维护劳动者在劳动报酬、休息休假、劳动安全、技能培训、社会保险和福利等方面的合法权益。加强灵活就业和新就业形态劳动者权益保障，扩大职业伤害保障试点，及时总结经验、形成制度。加强市场监管和劳动保障监察执法，有效治理就业歧视、欠薪欠保、违法裁员等乱象。</w:t>
      </w:r>
    </w:p>
    <w:p w14:paraId="2455AE8C">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就业是家事，更是国事。各级党委和政府要把就业当作民生头等大事来抓，加强组织领导，健全制度机制，增强工作合力。要加快建构中国就业理论体系，积极讲好中国就业故事，有效提升我国在就业领域的国际话语权和影响力。</w:t>
      </w:r>
    </w:p>
    <w:p w14:paraId="7B964579">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left="0" w:righ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※这是习近平总书记2024年5月27日在二十届中央政治局第十四次集体学习时讲话的主要部分。</w:t>
      </w:r>
    </w:p>
    <w:p w14:paraId="523C75A0">
      <w:pPr>
        <w:pStyle w:val="9"/>
        <w:keepNext w:val="0"/>
        <w:keepLines w:val="0"/>
        <w:widowControl/>
        <w:suppressLineNumbers w:val="0"/>
        <w:shd w:val="clear" w:fill="FFFFFF"/>
        <w:spacing w:before="225" w:beforeAutospacing="0" w:after="225" w:afterAutospacing="0" w:line="510" w:lineRule="atLeast"/>
        <w:ind w:left="0" w:right="0" w:firstLine="420"/>
        <w:jc w:val="left"/>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14:paraId="67DDC1D7">
      <w:pPr>
        <w:pStyle w:val="2"/>
        <w:shd w:val="clear" w:color="auto" w:fill="FFFFFF"/>
        <w:spacing w:before="62" w:beforeLines="20" w:beforeAutospacing="0" w:after="62" w:afterLines="20" w:afterAutospacing="0" w:line="360" w:lineRule="auto"/>
        <w:rPr>
          <w:rFonts w:hint="default" w:ascii="方正小标宋简体" w:hAnsi="方正小标宋简体" w:eastAsia="方正小标宋简体" w:cs="方正小标宋简体"/>
          <w:bCs w:val="0"/>
          <w:color w:val="000000" w:themeColor="text1"/>
          <w:sz w:val="24"/>
          <w:szCs w:val="24"/>
          <w:shd w:val="clear" w:color="auto" w:fill="FFFFFF"/>
          <w:lang w:val="en-US" w:eastAsia="zh-CN"/>
          <w14:textFill>
            <w14:solidFill>
              <w14:schemeClr w14:val="tx1"/>
            </w14:solidFill>
          </w14:textFill>
        </w:rPr>
      </w:pPr>
      <w:r>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t>学习材料</w:t>
      </w:r>
      <w:r>
        <w:rPr>
          <w:rFonts w:hint="eastAsia" w:ascii="方正小标宋简体" w:hAnsi="方正小标宋简体" w:eastAsia="方正小标宋简体" w:cs="方正小标宋简体"/>
          <w:bCs w:val="0"/>
          <w:color w:val="000000" w:themeColor="text1"/>
          <w:sz w:val="24"/>
          <w:szCs w:val="24"/>
          <w:shd w:val="clear" w:color="auto" w:fill="FFFFFF"/>
          <w:lang w:val="en-US" w:eastAsia="zh-CN"/>
          <w14:textFill>
            <w14:solidFill>
              <w14:schemeClr w14:val="tx1"/>
            </w14:solidFill>
          </w14:textFill>
        </w:rPr>
        <w:t>4</w:t>
      </w:r>
    </w:p>
    <w:p w14:paraId="46F14EA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300" w:afterAutospacing="0" w:line="570" w:lineRule="exact"/>
        <w:ind w:left="0" w:right="0" w:firstLine="0"/>
        <w:jc w:val="center"/>
        <w:textAlignment w:val="auto"/>
        <w:rPr>
          <w:rFonts w:hint="eastAsia" w:ascii="方正公文小标宋" w:hAnsi="方正公文小标宋" w:eastAsia="方正公文小标宋" w:cs="方正公文小标宋"/>
          <w:b/>
          <w:bCs/>
          <w:i w:val="0"/>
          <w:iCs w:val="0"/>
          <w:caps w:val="0"/>
          <w:color w:val="000000" w:themeColor="text1"/>
          <w:spacing w:val="0"/>
          <w:sz w:val="36"/>
          <w:szCs w:val="36"/>
          <w14:textFill>
            <w14:solidFill>
              <w14:schemeClr w14:val="tx1"/>
            </w14:solidFill>
          </w14:textFill>
        </w:rPr>
      </w:pPr>
      <w:r>
        <w:rPr>
          <w:rFonts w:hint="eastAsia" w:ascii="方正公文小标宋" w:hAnsi="方正公文小标宋" w:eastAsia="方正公文小标宋" w:cs="方正公文小标宋"/>
          <w:b/>
          <w:bCs/>
          <w:i w:val="0"/>
          <w:iCs w:val="0"/>
          <w:caps w:val="0"/>
          <w:color w:val="000000" w:themeColor="text1"/>
          <w:spacing w:val="0"/>
          <w:sz w:val="36"/>
          <w:szCs w:val="36"/>
          <w:shd w:val="clear" w:fill="FFFFFF"/>
          <w14:textFill>
            <w14:solidFill>
              <w14:schemeClr w14:val="tx1"/>
            </w14:solidFill>
          </w14:textFill>
        </w:rPr>
        <w:t>学习习近平对社会工作作出重要指示精神</w:t>
      </w:r>
    </w:p>
    <w:p w14:paraId="4DE4F985">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left"/>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中共中央总书记、国家主席、中央军委主席习近平近日对社会工作作出重要指示指出，社会工作是党和国家工作的重要组成部分，事关党长期执政和国家长治久安，事关社会和谐稳定和人民幸福安康。新时代以来，党中央作出一系列重大决策部署，推动社会工作取得重要成就。当前我国社会结构正在发生深刻变化，尤其是新兴领域迅速发展，新经济组织、新社会组织大量涌现，新就业群体规模持续扩大，社会工作面临新形势新任务，必须展现新担当新作为。要坚持以新时代中国特色社会主义思想为指导，全面贯彻党的二十大和二十届二中、三中全会精神，坚持以人民为中心，践行新时代党的群众路线，坚定不移走中国特色社会主义社会治理之路，健全社会工作体制机制，突出抓好新经济组织、新社会组织、新就业群体党的建设，不断增强党在新兴领域的号召力凝聚力影响力；抓好党建引领基层治理和基层政权建设；抓好凝聚服务群众工作，推动新时代社会工作高质量发展。</w:t>
      </w:r>
    </w:p>
    <w:p w14:paraId="12CDC3B5">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left"/>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习近平强调，做好社会工作是全党共同责任。各级党委（党组）要扛起政治责任，加强组织领导和统筹协调，确保党中央关于社会工作的决策部署落到实处；各地和有关部门要主动作为、协同联动，坚持管行业也要管党建，形成做好社会工作的强大合力；社会工作部门要加强自身建设，强化政治担当，勇于实践探索，扎实履职尽责，为以中国式现代化全面推进强国建设、民族复兴伟业作出新的贡献。</w:t>
      </w:r>
    </w:p>
    <w:p w14:paraId="71523390">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left"/>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中央社会工作会议11月5日至6日在京召开。会上传达了习近平重要指示。中共中央政治局常委、中央书记处书记蔡奇出席会议并讲话。</w:t>
      </w:r>
    </w:p>
    <w:p w14:paraId="0FE3A51A">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left"/>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蔡奇在讲话中指出，习近平总书记重要指示高屋建瓴、精辟深邃，具有很强的政治性、思想性、指导性，为做好新时代社会工作指明了方向，必须深入学习领会，坚决贯彻落实。</w:t>
      </w:r>
    </w:p>
    <w:p w14:paraId="1F7F20D1">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left"/>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蔡奇指出，党的十八大以来，以习近平同志为核心的党中央把社会工作摆在重要位置，习近平总书记围绕为什么要加强社会工作、怎样加强社会工作，作出一系列重要论述，提出一系列新思想、新观点、新论断。习近平总书记关于社会工作的重要论述，深刻阐明新时代社会工作的根本原则、价值取向、发展方向、重点任务、基础保障等，是习近平新时代中国特色社会主义思想的重要组成部分。</w:t>
      </w:r>
    </w:p>
    <w:p w14:paraId="7EFCF15B">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left"/>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蔡奇强调，要全面贯彻党的二十大和二十届二中、三中全会精神，深入学习贯彻习近平总书记重要论述和重要指示精神，深刻领悟“两个确立”的决定性意义，坚决做到“两个维护”，深刻把握做好新时代社会工作的总体要求，切实增强责任感使命感，奋力开创新时代社会工作新局面。要把加强新兴领域党的建设作为重中之重，加强统筹协调，坚持分类指导，突出抓好新经济组织、新社会组织、新就业群体党建工作，推进党的组织覆盖和工作覆盖，促进新兴领域健康发展。继续抓好行业协会商会党建和改革发展。加强党建引领基层治理和基层政权建设，破解基层治理“小马拉大车”突出问题，统筹推进为基层赋能和减负。扎实做好凝聚服务群众工作，坚持和发展新时代“枫桥经验”，推进信访工作法治化，做好人民建议征集，发展志愿服务事业。各级党委要加强对社会工作的领导，落实政治责任，健全工作体系，建强社会工作者队伍，以改革创新精神推动社会工作高质量发展。</w:t>
      </w:r>
    </w:p>
    <w:p w14:paraId="7368D2BA">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left"/>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李干杰主持会议。李书磊、陈文清、穆虹出席会议。</w:t>
      </w:r>
    </w:p>
    <w:p w14:paraId="0E027074">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left"/>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中央组织部、中央网信办、共青团中央、北京市、浙江省、广东省、陕西省负责同志作交流发言。</w:t>
      </w:r>
    </w:p>
    <w:p w14:paraId="01F7A91F">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left"/>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各省区市和计划单列市、新疆生产建设兵团，中央和国家机关有关部门、有关人民团体，中央管理的金融机构、部分企业、高校负责同志等参加会议。</w:t>
      </w:r>
    </w:p>
    <w:p w14:paraId="72589863">
      <w:pPr>
        <w:pStyle w:val="2"/>
        <w:shd w:val="clear" w:color="auto" w:fill="FFFFFF"/>
        <w:spacing w:before="62" w:beforeLines="20" w:beforeAutospacing="0" w:after="62" w:afterLines="20" w:afterAutospacing="0" w:line="360" w:lineRule="auto"/>
        <w:ind w:firstLine="640"/>
        <w:rPr>
          <w:rFonts w:hint="eastAsia" w:ascii="仿宋_GB2312" w:hAnsi="仿宋_GB2312" w:eastAsia="仿宋_GB2312" w:cs="仿宋_GB2312"/>
          <w:b w:val="0"/>
          <w:bCs w:val="0"/>
          <w:color w:val="000000" w:themeColor="text1"/>
          <w:sz w:val="32"/>
          <w:szCs w:val="32"/>
          <w14:textFill>
            <w14:solidFill>
              <w14:schemeClr w14:val="tx1"/>
            </w14:solidFill>
          </w14:textFill>
        </w:rPr>
      </w:pPr>
    </w:p>
    <w:p w14:paraId="393F3F33">
      <w:pPr>
        <w:pStyle w:val="2"/>
        <w:shd w:val="clear" w:color="auto" w:fill="FFFFFF"/>
        <w:spacing w:before="62" w:beforeLines="20" w:beforeAutospacing="0" w:after="62" w:afterLines="20" w:afterAutospacing="0" w:line="360" w:lineRule="auto"/>
        <w:ind w:firstLine="640"/>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pPr>
    </w:p>
    <w:p w14:paraId="0B16C1A5">
      <w:pPr>
        <w:pStyle w:val="2"/>
        <w:shd w:val="clear" w:color="auto" w:fill="FFFFFF"/>
        <w:spacing w:before="62" w:beforeLines="20" w:beforeAutospacing="0" w:after="62" w:afterLines="20" w:afterAutospacing="0" w:line="360" w:lineRule="auto"/>
        <w:ind w:firstLine="640"/>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pPr>
    </w:p>
    <w:p w14:paraId="4658EEB1">
      <w:pPr>
        <w:pStyle w:val="2"/>
        <w:shd w:val="clear" w:color="auto" w:fill="FFFFFF"/>
        <w:spacing w:before="62" w:beforeLines="20" w:beforeAutospacing="0" w:after="62" w:afterLines="20" w:afterAutospacing="0" w:line="360" w:lineRule="auto"/>
        <w:ind w:firstLine="640"/>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pPr>
    </w:p>
    <w:p w14:paraId="766E0973">
      <w:pPr>
        <w:pStyle w:val="2"/>
        <w:shd w:val="clear" w:color="auto" w:fill="FFFFFF"/>
        <w:spacing w:before="62" w:beforeLines="20" w:beforeAutospacing="0" w:after="62" w:afterLines="20" w:afterAutospacing="0" w:line="360" w:lineRule="auto"/>
        <w:ind w:firstLine="640"/>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pPr>
    </w:p>
    <w:p w14:paraId="48D2F4FB">
      <w:pPr>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pPr>
    </w:p>
    <w:p w14:paraId="1163CC3D">
      <w:pPr>
        <w:pStyle w:val="2"/>
        <w:shd w:val="clear" w:color="auto" w:fill="FFFFFF"/>
        <w:spacing w:before="62" w:beforeLines="20" w:beforeAutospacing="0" w:after="62" w:afterLines="20" w:afterAutospacing="0" w:line="360" w:lineRule="auto"/>
        <w:ind w:left="0" w:leftChars="0" w:firstLine="0" w:firstLineChars="0"/>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pPr>
    </w:p>
    <w:p w14:paraId="634E891B">
      <w:pPr>
        <w:pStyle w:val="2"/>
        <w:shd w:val="clear" w:color="auto" w:fill="FFFFFF"/>
        <w:spacing w:before="62" w:beforeLines="20" w:beforeAutospacing="0" w:after="62" w:afterLines="20" w:afterAutospacing="0" w:line="360" w:lineRule="auto"/>
        <w:ind w:left="0" w:leftChars="0" w:firstLine="0" w:firstLineChars="0"/>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pPr>
    </w:p>
    <w:p w14:paraId="12152157">
      <w:pPr>
        <w:pStyle w:val="2"/>
        <w:shd w:val="clear" w:color="auto" w:fill="FFFFFF"/>
        <w:spacing w:before="62" w:beforeLines="20" w:beforeAutospacing="0" w:after="62" w:afterLines="20" w:afterAutospacing="0" w:line="360" w:lineRule="auto"/>
        <w:ind w:left="0" w:leftChars="0" w:firstLine="0" w:firstLineChars="0"/>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pPr>
    </w:p>
    <w:p w14:paraId="6F8475EA">
      <w:pPr>
        <w:pStyle w:val="2"/>
        <w:shd w:val="clear" w:color="auto" w:fill="FFFFFF"/>
        <w:spacing w:before="62" w:beforeLines="20" w:beforeAutospacing="0" w:after="62" w:afterLines="20" w:afterAutospacing="0" w:line="360" w:lineRule="auto"/>
        <w:ind w:left="0" w:leftChars="0" w:firstLine="0" w:firstLineChars="0"/>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pPr>
    </w:p>
    <w:p w14:paraId="40B39603">
      <w:pPr>
        <w:pStyle w:val="2"/>
        <w:shd w:val="clear" w:color="auto" w:fill="FFFFFF"/>
        <w:spacing w:before="62" w:beforeLines="20" w:beforeAutospacing="0" w:after="62" w:afterLines="20" w:afterAutospacing="0" w:line="360" w:lineRule="auto"/>
        <w:ind w:left="0" w:leftChars="0" w:firstLine="0" w:firstLineChars="0"/>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pPr>
    </w:p>
    <w:p w14:paraId="2396B2B5">
      <w:pPr>
        <w:pStyle w:val="2"/>
        <w:shd w:val="clear" w:color="auto" w:fill="FFFFFF"/>
        <w:spacing w:before="62" w:beforeLines="20" w:beforeAutospacing="0" w:after="62" w:afterLines="20" w:afterAutospacing="0" w:line="360" w:lineRule="auto"/>
        <w:ind w:left="0" w:leftChars="0" w:firstLine="0" w:firstLineChars="0"/>
        <w:rPr>
          <w:rFonts w:hint="default" w:ascii="方正小标宋简体" w:hAnsi="方正小标宋简体" w:eastAsia="方正小标宋简体" w:cs="方正小标宋简体"/>
          <w:bCs w:val="0"/>
          <w:color w:val="000000" w:themeColor="text1"/>
          <w:sz w:val="24"/>
          <w:szCs w:val="24"/>
          <w:shd w:val="clear" w:color="auto" w:fill="FFFFFF"/>
          <w:lang w:val="en-US" w:eastAsia="zh-CN"/>
          <w14:textFill>
            <w14:solidFill>
              <w14:schemeClr w14:val="tx1"/>
            </w14:solidFill>
          </w14:textFill>
        </w:rPr>
      </w:pPr>
      <w:r>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t>学习材</w:t>
      </w:r>
      <w:bookmarkStart w:id="0" w:name="_GoBack"/>
      <w:bookmarkEnd w:id="0"/>
      <w:r>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t>料</w:t>
      </w:r>
      <w:r>
        <w:rPr>
          <w:rFonts w:hint="eastAsia" w:ascii="方正小标宋简体" w:hAnsi="方正小标宋简体" w:eastAsia="方正小标宋简体" w:cs="方正小标宋简体"/>
          <w:bCs w:val="0"/>
          <w:color w:val="000000" w:themeColor="text1"/>
          <w:sz w:val="24"/>
          <w:szCs w:val="24"/>
          <w:shd w:val="clear" w:color="auto" w:fill="FFFFFF"/>
          <w:lang w:val="en-US" w:eastAsia="zh-CN"/>
          <w14:textFill>
            <w14:solidFill>
              <w14:schemeClr w14:val="tx1"/>
            </w14:solidFill>
          </w14:textFill>
        </w:rPr>
        <w:t>5</w:t>
      </w:r>
    </w:p>
    <w:p w14:paraId="773A80B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300" w:afterAutospacing="0" w:line="750" w:lineRule="atLeast"/>
        <w:ind w:left="0" w:right="0" w:firstLine="0"/>
        <w:jc w:val="center"/>
        <w:rPr>
          <w:rFonts w:hint="eastAsia" w:ascii="方正公文小标宋" w:hAnsi="方正公文小标宋" w:eastAsia="方正公文小标宋" w:cs="方正公文小标宋"/>
          <w:b w:val="0"/>
          <w:bCs w:val="0"/>
          <w:i w:val="0"/>
          <w:iCs w:val="0"/>
          <w:caps w:val="0"/>
          <w:color w:val="000000" w:themeColor="text1"/>
          <w:spacing w:val="0"/>
          <w:sz w:val="36"/>
          <w:szCs w:val="36"/>
          <w14:textFill>
            <w14:solidFill>
              <w14:schemeClr w14:val="tx1"/>
            </w14:solidFill>
          </w14:textFill>
        </w:rPr>
      </w:pPr>
      <w:r>
        <w:rPr>
          <w:rFonts w:hint="eastAsia" w:ascii="方正公文小标宋" w:hAnsi="方正公文小标宋" w:eastAsia="方正公文小标宋" w:cs="方正公文小标宋"/>
          <w:b w:val="0"/>
          <w:bCs w:val="0"/>
          <w:i w:val="0"/>
          <w:iCs w:val="0"/>
          <w:caps w:val="0"/>
          <w:color w:val="000000" w:themeColor="text1"/>
          <w:spacing w:val="0"/>
          <w:sz w:val="36"/>
          <w:szCs w:val="36"/>
          <w:shd w:val="clear" w:fill="FFFFFF"/>
          <w14:textFill>
            <w14:solidFill>
              <w14:schemeClr w14:val="tx1"/>
            </w14:solidFill>
          </w14:textFill>
        </w:rPr>
        <w:t>学习中共中央办公厅印发的《关于进一步加强和改进流动党员管理工作的意见》</w:t>
      </w:r>
    </w:p>
    <w:p w14:paraId="06AB43A0">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近日，中共中央办公厅印发《关于进一步加强和改进流动党员管理工作的意见》（以下简称《意见》），对做好新时代流动党员管理工作作出部署。</w:t>
      </w:r>
    </w:p>
    <w:p w14:paraId="6BF7DC6B">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意见》以习近平新时代中国特色社会主义思想为指导，以党章和有关党内法规为依据，全面贯彻党中央关于流动党员管理工作的重要部署，坚持问题导向与目标导向相统一，坚持系统观念、求真务实、改革创新，把精准有效、关爱服务体现到流动党员管理全过程各方面，从及时将流动党员纳入流入地（单位）基层党组织、落实基层党组织管理责任和流动党员责任要求、抓实流动党员日常教育管理、加强流动党员党组织建设、加强组织领导等5个方面，提出进一步加强和改进流动党员管理工作的任务措施和具体要求。</w:t>
      </w:r>
    </w:p>
    <w:p w14:paraId="3FD830F8">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意见》强调，各级党委特别是县级党委要把加强和改进流动党员管理工作作为党的建设重要任务和经常性工作，纳入基层党建工作责任制，加强领导和指导；各级党委组织部门要加强具体指导，会同党委社会工作部门和公安、人力资源社会保障等部门，定期通报和研究流动党员管理工作，促进流动党员管理信息共享、工作共抓。</w:t>
      </w:r>
    </w:p>
    <w:p w14:paraId="3DAEEBC5">
      <w:pPr>
        <w:keepNext w:val="0"/>
        <w:keepLines w:val="0"/>
        <w:pageBreakBefore w:val="0"/>
        <w:widowControl/>
        <w:suppressLineNumbers w:val="0"/>
        <w:shd w:val="clear" w:fill="FFFFFF"/>
        <w:kinsoku/>
        <w:wordWrap/>
        <w:overflowPunct/>
        <w:topLinePunct w:val="0"/>
        <w:autoSpaceDE/>
        <w:autoSpaceDN/>
        <w:bidi w:val="0"/>
        <w:adjustRightInd/>
        <w:snapToGrid/>
        <w:spacing w:line="570" w:lineRule="exact"/>
        <w:ind w:lef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p>
    <w:p w14:paraId="7600213E">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left="0" w:righ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Style w:val="13"/>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相关阅读：</w:t>
      </w:r>
    </w:p>
    <w:p w14:paraId="28C1EE06">
      <w:pPr>
        <w:pStyle w:val="9"/>
        <w:keepNext w:val="0"/>
        <w:keepLines w:val="0"/>
        <w:pageBreakBefore w:val="0"/>
        <w:widowControl/>
        <w:suppressLineNumbers w:val="0"/>
        <w:kinsoku/>
        <w:wordWrap/>
        <w:overflowPunct/>
        <w:topLinePunct w:val="0"/>
        <w:autoSpaceDE/>
        <w:autoSpaceDN/>
        <w:bidi w:val="0"/>
        <w:adjustRightInd/>
        <w:snapToGrid/>
        <w:spacing w:before="225" w:beforeAutospacing="0" w:after="225" w:afterAutospacing="0" w:line="570" w:lineRule="exact"/>
        <w:ind w:right="0" w:firstLine="643" w:firstLineChars="20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Style w:val="13"/>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做好新时代流动党员管理工作的指导性文件——中央组织部负责人就《关于进一步加强和改进流动党员管理工作的意见》答记者问</w:t>
      </w:r>
    </w:p>
    <w:p w14:paraId="38F90C66">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新华社北京11月11日电 近日，中共中央办公厅印发了《关于进一步加强和改进流动党员管理工作的意见》（以下简称《意见》）。日前，中央组织部负责人就《意见》制定和贯彻实施等问题回答了记者提问。</w:t>
      </w:r>
    </w:p>
    <w:p w14:paraId="36127FA7">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left="0" w:righ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Style w:val="13"/>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问：请介绍一下制定《意见》的背景和意义。</w:t>
      </w:r>
    </w:p>
    <w:p w14:paraId="577E3A61">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答：流动党员是党员队伍的重要组成部分。党的二十大报告强调，加强和改进党员特别是流动党员教育管理。党的二十届三中全会《决定》提出，完善党员教育管理、作用发挥机制。习近平总书记强调，要坚持问题导向，针对不同群体党员特别是流动党员，采取精准有效的教育管理措施。为贯彻落实党中央部署要求和习近平总书记重要指示批示精神，中央组织部在总结实践经验、深入调查研究、广泛征求意见的基础上，研究起草了《意见》。制定出台《意见》，对于全面贯彻习近平新时代中国特色社会主义思想，深入贯彻党的二十大和二十届二中、三中全会精神，深入推进全面从严治党，提高新时代党员队伍建设质量，组织引导流动党员充分发挥先锋模范作用，锻造一支充满活力的先锋力量，具有重要意义。</w:t>
      </w:r>
    </w:p>
    <w:p w14:paraId="6F1E214C">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left="0" w:righ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Style w:val="13"/>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问：请介绍一下《意见》的总体考虑和主要内容是什么？</w:t>
      </w:r>
    </w:p>
    <w:p w14:paraId="4A509B25">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答：党的十八大以来，党中央高度重视党员队伍建设，制定一系列政策措施，推动流动党员管理工作取得新进展新成效。同时，还存在少数流动党员去向难掌握、管理难落实、活动难组织、作用难发挥等问题。我们在起草《意见》时，坚持以习近平新时代中国特色社会主义思想为指导，全面贯彻习近平总书记关于流动党员管理工作的重要指示精神，把精准有效、关爱服务的要求体现到流动党员管理全过程各方面；坚持问题导向，以求解优解思维、务实管用措施解决流动党员管理工作中存在的突出问题；坚持系统观念，把流动党员管理放到整个基层党组织建设和党员队伍建设中进行统筹，注重相关政策措施系统集成、协同联动；坚持求真务实，根据现实条件和工作基础，提出可操作、好落实、能见效的具体要求；坚持改革创新，总结基层经验做法，将比较成熟的措施做法吸纳到《意见》中来。</w:t>
      </w:r>
    </w:p>
    <w:p w14:paraId="40248979">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意见》共5个部分、18条，从及时将流动党员纳入流入地（单位）基层党组织、落实基层党组织管理责任和流动党员责任要求、抓实流动党员日常教育管理、加强流动党员党组织建设、加强组织领导等5个方面，提出进一步加强和改进流动党员管理工作的任务措施和具体要求。</w:t>
      </w:r>
    </w:p>
    <w:p w14:paraId="280D07B6">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left="0" w:righ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Style w:val="13"/>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问：及时将流动党员纳入流入地（单位）基层党组织是流动党员管理工作的基本目标，《意见》提出哪些要求？</w:t>
      </w:r>
    </w:p>
    <w:p w14:paraId="279AD57B">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答：一是为便于基层准确认定和把握，将流动党员界定为因工作、学习单位或居住地发生变化，没有转移正式组织关系，连续6个月以上不能参加正式组织关系所在党支部活动的党员。二是通过全国党员管理信息系统对流出党员、流入党员进行登记，运用信息手段督促流动党员向流入地（单位）基层党组织及时报到。三是区分不同情形，对规范流动党员纳入党组织工作提出具体要求。四是按照党员正式组织关系应转尽转原则，针对流动党员不同情形，分别提出做好组织关系转接工作的具体要求。</w:t>
      </w:r>
    </w:p>
    <w:p w14:paraId="02091906">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left="0" w:righ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Style w:val="13"/>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问：《意见》对落实基层党组织管理责任和流动党员责任提出哪些要求？</w:t>
      </w:r>
    </w:p>
    <w:p w14:paraId="6DECBBC9">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答：建立流出地（单位）、流入地（单位）基层党组织的责任清单，推动基层党组织和流动党员明责履责尽责，是抓好流动党员管理工作的关键。《意见》根据新形势新任务，明确了流出地（单位）、流入地（单位）基层党组织管理责任和流动党员责任要求。一是以党员正式组织关系隶属作为落实党组织责任的依据，明确流出地（单位）基层党组织特别是党支部负有主体责任，流入地（单位）基层党组织落实直接教育、管理、监督和服务责任。二是明确流出地（单位）基层党组织管理责任，从及时掌握党员外出流动情况、确定专人定期联系流出党员、按照规定做好预备党员转正工作、组织开展线上学习、引导流出党员发挥作用、做好优秀流出党员表彰相关工作、加强流出党员监督管理等方面，明确7项具体责任。三是明确流入地（单位）基层党组织管理责任，从及时掌握流入党员情况、确定专人与流入党员保持联系、组织流入党员参加组织生活、做好流入党员关怀帮扶工作、开展民主评议、加强流入党员日常监督等方面，明确6项具体责任。四是根据流动党员特点，从外出前向正式组织关系所在党组织报告、向流入地（单位）基层党组织报到、与流出地（单位）基层党组织保持联系、外出等有关情况发生变化时及时报告、发挥先锋模范作用等方面，对流动党员提出了5项责任要求。</w:t>
      </w:r>
    </w:p>
    <w:p w14:paraId="6428CAA1">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left="0" w:righ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Style w:val="13"/>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问：请介绍一下《意见》对抓实流动党员日常教育管理提出了哪些工作措施？</w:t>
      </w:r>
    </w:p>
    <w:p w14:paraId="3665574D">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答：立足工作实际，《意见》对抓实流动党员日常教育管理提出了4方面工作措施：一是加强党的创新理论武装，坚持不懈用习近平新时代中国特色社会主义思想凝心铸魂，组织流动党员参加党内集中学习教育，采取灵活多样形式开展经常性教育。二是按照党员组织关系一方隶属、参加多重组织生活的方式，组织流动党员就近就便参加组织生活。三是激励流动党员发挥先锋模范作用，从不同类型流动党员实际出发，采取设立党员示范岗、党员责任区和开展党员承诺践诺、志愿服务等方式，组织引导流动党员在本职岗位上履职尽责，在促进经济社会发展、加强城乡基层治理、联系服务群众等方面发挥先锋模范作用。四是加强对流动党员的关怀帮扶，保障流动党员正常参加组织生活、行使党员权利。坚持精神激励、人文关怀与物质帮扶相结合，为流动党员创业就业、技能培训、权益保障等提供帮助。</w:t>
      </w:r>
    </w:p>
    <w:p w14:paraId="3EEA1D0B">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left="0" w:righ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Style w:val="13"/>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问：《意见》对加强流动党员党组织建设提出哪些要求？</w:t>
      </w:r>
    </w:p>
    <w:p w14:paraId="319BEB89">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答：流动党员党组织是加强流动党员管理的重要组织形式。《意见》从注重规范建设和日常管理的角度，对加强流动党员党组织建设提出3方面要求：一是规范流动党员党组织设置，明确在流动党员人数较多、相对集中的地方和单位，经县级以上党委批准，可成立流动党员党组织，并对流出地、流入地党组织成立流动党员党组织的方式、隶属关系等提出要求。二是明确流动党员党组织职责任务，主要包括加强流动党员经常性教育和日常管理，开展政治学习，组织开展组织生活，进行民主评议，引导党员履行党员义务，行使党员权利，充分发挥作用；加强同流动党员正式组织关系所在党组织联系，通报民主评议以及日常表现情况，做好接收入党申请书、入党积极分子培养教育等工作；做好流动人员的团结凝聚和联系服务工作。三是加强流动党员党组织运行管理，要求对流动党员党组织进行调查摸底，加强规范管理，选优配强流动党员党组织负责人，强化服务保障，推动积极发挥作用。</w:t>
      </w:r>
    </w:p>
    <w:p w14:paraId="4AF90DD3">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left="0" w:righ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Style w:val="13"/>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问：《意见》对加强流动党员管理工作组织领导提出哪些要求？</w:t>
      </w:r>
    </w:p>
    <w:p w14:paraId="7BE36DBE">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答：《意见》从4个方面提出了具体要求：一是建立齐抓共管工作体制，要求各级党委特别是县级党委要把加强和改进流动党员管理工作作为党的建设重要任务和经常性工作，纳入基层党建工作责任制，加强领导和指导；各级党委组织部门要加强对流动党员管理工作的具体指导，督促抓好各项任务落实，会同党委社会工作部门和公安、人力资源社会保障等部门，定期通报和研究流动党员管理工作，促进流动党员管理信息共享、工作共抓。二是加强党务工作者队伍建设，要求县级党委对流动党员较多的基层党组织，充实工作力量，采取选派党建指导员等方式，加大指导力度；加强对从事流动党员管理工作的基层党务工作者政治能力和政策业务培训。三是加大支持保障力度，要求各级党委组织部门划拨一定额度党费，用于开展流动党员教育培训、流动党员党组织开展活动、慰问帮扶生活困难流动党员等；统筹党群服务中心、党员教育基地等各类阵地资源，向流动党员开放活动场所，针对不同类型流动党员需求提供政策咨询、就业指导、法律援助等服务。四是加强督促检查，要求将流动党员管理工作纳入巡视巡察、党委（党组）书记抓基层党建述职评议考核的重要内容；以具有审批预备党员权限的基层党（工）委为单位，明确流动党员管理具体工作事项，抓好工作落实；县级党委组织部门利用全国党员管理信息系统进行工作调度。</w:t>
      </w:r>
    </w:p>
    <w:p w14:paraId="5F89CE71">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left="0" w:righ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Style w:val="13"/>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问：文件出台后，关键在落实。请谈谈如何抓好《意见》的贯彻落实？</w:t>
      </w:r>
    </w:p>
    <w:p w14:paraId="491AC350">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答：各级党委（党组）要把流动党员管理工作作为加强新时代党员队伍建设的重要任务来抓，切实把流动党员教育管理好、作用发挥好。一是加强学习培训。要结合学习贯彻党的二十届三中全会精神，通过专题学习、交流研讨等方式，使各级党组织和流动党员准确领会《意见》精神，严格落实《意见》要求。中央组织部将适时通过举办业务培训班等方式，抓好《意见》的学习培训和政策解读。二是强化责任落实。各级党委（党组）要切实履行管党治党责任，推动流出地（单位）基层党组织、流入地（单位）基层党组织和流动党员三方责任全面落实，切实抓好流动党员理论武装、纳入党组织管理、参加组织生活和流动党员党组织建设等各项工作。三是细化工作措施。各地区各部门（系统）要结合实际抓好《意见》贯彻落实，确保抓细、抓实、抓出成效。要注意用好全国党员管理信息系统，运用信息手段做好流动党员登记接收、组织关系转接、组织生活管理等工作。四是加强督促指导。要通过情况调度、调研督导等方式，了解掌握《意见》贯彻落实情况，及时解决工作中存在的问题，确保流动党员管理工作取得扎实成效。</w:t>
      </w:r>
    </w:p>
    <w:p w14:paraId="5DE98D9F">
      <w:pPr>
        <w:pStyle w:val="9"/>
        <w:widowControl w:val="0"/>
        <w:shd w:val="clear" w:color="auto" w:fill="FFFFFF"/>
        <w:snapToGrid w:val="0"/>
        <w:spacing w:before="0" w:beforeAutospacing="0" w:after="0" w:afterAutospacing="0" w:line="360" w:lineRule="auto"/>
        <w:ind w:firstLine="640" w:firstLineChars="200"/>
        <w:jc w:val="both"/>
        <w:rPr>
          <w:rFonts w:hint="eastAsia" w:ascii="仿宋_GB2312" w:hAnsi="方正仿宋_GB2312" w:eastAsia="仿宋_GB2312" w:cs="方正仿宋_GB2312"/>
          <w:color w:val="000000" w:themeColor="text1"/>
          <w:sz w:val="32"/>
          <w:szCs w:val="32"/>
          <w:shd w:val="clear" w:color="auto" w:fill="FFFFFF"/>
          <w:lang w:eastAsia="zh-CN"/>
          <w14:textFill>
            <w14:solidFill>
              <w14:schemeClr w14:val="tx1"/>
            </w14:solidFill>
          </w14:textFill>
        </w:rPr>
      </w:pPr>
    </w:p>
    <w:p w14:paraId="6EDE1AD4">
      <w:pPr>
        <w:pStyle w:val="9"/>
        <w:widowControl w:val="0"/>
        <w:shd w:val="clear" w:color="auto" w:fill="FFFFFF"/>
        <w:snapToGrid w:val="0"/>
        <w:spacing w:before="0" w:beforeAutospacing="0" w:after="0" w:afterAutospacing="0" w:line="360" w:lineRule="auto"/>
        <w:ind w:firstLine="640" w:firstLineChars="200"/>
        <w:jc w:val="both"/>
        <w:rPr>
          <w:rFonts w:hint="eastAsia" w:ascii="仿宋_GB2312" w:hAnsi="方正仿宋_GB2312" w:eastAsia="仿宋_GB2312" w:cs="方正仿宋_GB2312"/>
          <w:color w:val="000000" w:themeColor="text1"/>
          <w:sz w:val="32"/>
          <w:szCs w:val="32"/>
          <w:shd w:val="clear" w:color="auto" w:fill="FFFFFF"/>
          <w:lang w:eastAsia="zh-CN"/>
          <w14:textFill>
            <w14:solidFill>
              <w14:schemeClr w14:val="tx1"/>
            </w14:solidFill>
          </w14:textFill>
        </w:rPr>
      </w:pPr>
    </w:p>
    <w:p w14:paraId="23198149">
      <w:pPr>
        <w:pStyle w:val="9"/>
        <w:widowControl w:val="0"/>
        <w:shd w:val="clear" w:color="auto" w:fill="FFFFFF"/>
        <w:snapToGrid w:val="0"/>
        <w:spacing w:before="0" w:beforeAutospacing="0" w:after="0" w:afterAutospacing="0" w:line="360" w:lineRule="auto"/>
        <w:ind w:firstLine="640" w:firstLineChars="200"/>
        <w:jc w:val="both"/>
        <w:rPr>
          <w:rFonts w:hint="eastAsia" w:ascii="仿宋_GB2312" w:hAnsi="方正仿宋_GB2312" w:eastAsia="仿宋_GB2312" w:cs="方正仿宋_GB2312"/>
          <w:color w:val="000000" w:themeColor="text1"/>
          <w:sz w:val="32"/>
          <w:szCs w:val="32"/>
          <w:shd w:val="clear" w:color="auto" w:fill="FFFFFF"/>
          <w:lang w:eastAsia="zh-CN"/>
          <w14:textFill>
            <w14:solidFill>
              <w14:schemeClr w14:val="tx1"/>
            </w14:solidFill>
          </w14:textFill>
        </w:rPr>
      </w:pPr>
    </w:p>
    <w:p w14:paraId="0DA77C06">
      <w:pPr>
        <w:pStyle w:val="9"/>
        <w:widowControl w:val="0"/>
        <w:shd w:val="clear" w:color="auto" w:fill="FFFFFF"/>
        <w:snapToGrid w:val="0"/>
        <w:spacing w:before="0" w:beforeAutospacing="0" w:after="0" w:afterAutospacing="0" w:line="360" w:lineRule="auto"/>
        <w:ind w:firstLine="640" w:firstLineChars="200"/>
        <w:jc w:val="both"/>
        <w:rPr>
          <w:rFonts w:hint="eastAsia" w:ascii="仿宋_GB2312" w:hAnsi="方正仿宋_GB2312" w:eastAsia="仿宋_GB2312" w:cs="方正仿宋_GB2312"/>
          <w:color w:val="000000" w:themeColor="text1"/>
          <w:sz w:val="32"/>
          <w:szCs w:val="32"/>
          <w:shd w:val="clear" w:color="auto" w:fill="FFFFFF"/>
          <w:lang w:eastAsia="zh-CN"/>
          <w14:textFill>
            <w14:solidFill>
              <w14:schemeClr w14:val="tx1"/>
            </w14:solidFill>
          </w14:textFill>
        </w:rPr>
      </w:pPr>
    </w:p>
    <w:p w14:paraId="68946A32">
      <w:pPr>
        <w:pStyle w:val="9"/>
        <w:widowControl w:val="0"/>
        <w:shd w:val="clear" w:color="auto" w:fill="FFFFFF"/>
        <w:snapToGrid w:val="0"/>
        <w:spacing w:before="0" w:beforeAutospacing="0" w:after="0" w:afterAutospacing="0" w:line="360" w:lineRule="auto"/>
        <w:ind w:firstLine="640" w:firstLineChars="200"/>
        <w:jc w:val="both"/>
        <w:rPr>
          <w:rFonts w:hint="eastAsia" w:ascii="仿宋_GB2312" w:hAnsi="方正仿宋_GB2312" w:eastAsia="仿宋_GB2312" w:cs="方正仿宋_GB2312"/>
          <w:color w:val="000000" w:themeColor="text1"/>
          <w:sz w:val="32"/>
          <w:szCs w:val="32"/>
          <w:shd w:val="clear" w:color="auto" w:fill="FFFFFF"/>
          <w:lang w:eastAsia="zh-CN"/>
          <w14:textFill>
            <w14:solidFill>
              <w14:schemeClr w14:val="tx1"/>
            </w14:solidFill>
          </w14:textFill>
        </w:rPr>
      </w:pPr>
    </w:p>
    <w:p w14:paraId="425FC871">
      <w:pPr>
        <w:pStyle w:val="9"/>
        <w:widowControl w:val="0"/>
        <w:shd w:val="clear" w:color="auto" w:fill="FFFFFF"/>
        <w:snapToGrid w:val="0"/>
        <w:spacing w:before="0" w:beforeAutospacing="0" w:after="0" w:afterAutospacing="0" w:line="360" w:lineRule="auto"/>
        <w:ind w:firstLine="640" w:firstLineChars="200"/>
        <w:jc w:val="both"/>
        <w:rPr>
          <w:rFonts w:hint="eastAsia" w:ascii="仿宋_GB2312" w:hAnsi="方正仿宋_GB2312" w:eastAsia="仿宋_GB2312" w:cs="方正仿宋_GB2312"/>
          <w:color w:val="000000" w:themeColor="text1"/>
          <w:sz w:val="32"/>
          <w:szCs w:val="32"/>
          <w:shd w:val="clear" w:color="auto" w:fill="FFFFFF"/>
          <w:lang w:eastAsia="zh-CN"/>
          <w14:textFill>
            <w14:solidFill>
              <w14:schemeClr w14:val="tx1"/>
            </w14:solidFill>
          </w14:textFill>
        </w:rPr>
      </w:pPr>
    </w:p>
    <w:p w14:paraId="71D37B61">
      <w:pPr>
        <w:pStyle w:val="9"/>
        <w:widowControl w:val="0"/>
        <w:shd w:val="clear" w:color="auto" w:fill="FFFFFF"/>
        <w:snapToGrid w:val="0"/>
        <w:spacing w:before="0" w:beforeAutospacing="0" w:after="0" w:afterAutospacing="0" w:line="360" w:lineRule="auto"/>
        <w:ind w:firstLine="640" w:firstLineChars="200"/>
        <w:jc w:val="both"/>
        <w:rPr>
          <w:rFonts w:hint="eastAsia" w:ascii="仿宋_GB2312" w:hAnsi="方正仿宋_GB2312" w:eastAsia="仿宋_GB2312" w:cs="方正仿宋_GB2312"/>
          <w:color w:val="000000" w:themeColor="text1"/>
          <w:sz w:val="32"/>
          <w:szCs w:val="32"/>
          <w:shd w:val="clear" w:color="auto" w:fill="FFFFFF"/>
          <w:lang w:eastAsia="zh-CN"/>
          <w14:textFill>
            <w14:solidFill>
              <w14:schemeClr w14:val="tx1"/>
            </w14:solidFill>
          </w14:textFill>
        </w:rPr>
      </w:pPr>
    </w:p>
    <w:p w14:paraId="2F66CD63">
      <w:pPr>
        <w:pStyle w:val="2"/>
        <w:shd w:val="clear" w:color="auto" w:fill="FFFFFF"/>
        <w:spacing w:before="62" w:beforeLines="20" w:beforeAutospacing="0" w:after="62" w:afterLines="20" w:afterAutospacing="0" w:line="360" w:lineRule="auto"/>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pPr>
    </w:p>
    <w:p w14:paraId="18D22324">
      <w:pPr>
        <w:pStyle w:val="2"/>
        <w:shd w:val="clear" w:color="auto" w:fill="FFFFFF"/>
        <w:spacing w:before="62" w:beforeLines="20" w:beforeAutospacing="0" w:after="62" w:afterLines="20" w:afterAutospacing="0" w:line="360" w:lineRule="auto"/>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pPr>
    </w:p>
    <w:p w14:paraId="68A80B8F">
      <w:pPr>
        <w:pStyle w:val="2"/>
        <w:shd w:val="clear" w:color="auto" w:fill="FFFFFF"/>
        <w:spacing w:before="62" w:beforeLines="20" w:beforeAutospacing="0" w:after="62" w:afterLines="20" w:afterAutospacing="0" w:line="360" w:lineRule="auto"/>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pPr>
    </w:p>
    <w:p w14:paraId="684CB82F">
      <w:pPr>
        <w:pStyle w:val="2"/>
        <w:shd w:val="clear" w:color="auto" w:fill="FFFFFF"/>
        <w:spacing w:before="62" w:beforeLines="20" w:beforeAutospacing="0" w:after="62" w:afterLines="20" w:afterAutospacing="0" w:line="360" w:lineRule="auto"/>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pPr>
    </w:p>
    <w:p w14:paraId="413B0A4D">
      <w:pPr>
        <w:pStyle w:val="2"/>
        <w:shd w:val="clear" w:color="auto" w:fill="FFFFFF"/>
        <w:spacing w:before="62" w:beforeLines="20" w:beforeAutospacing="0" w:after="62" w:afterLines="20" w:afterAutospacing="0" w:line="360" w:lineRule="auto"/>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pPr>
    </w:p>
    <w:p w14:paraId="11A13C69">
      <w:pPr>
        <w:pStyle w:val="2"/>
        <w:shd w:val="clear" w:color="auto" w:fill="FFFFFF"/>
        <w:spacing w:before="62" w:beforeLines="20" w:beforeAutospacing="0" w:after="62" w:afterLines="20" w:afterAutospacing="0" w:line="360" w:lineRule="auto"/>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pPr>
    </w:p>
    <w:p w14:paraId="4C8F741E">
      <w:pPr>
        <w:pStyle w:val="2"/>
        <w:shd w:val="clear" w:color="auto" w:fill="FFFFFF"/>
        <w:spacing w:before="62" w:beforeLines="20" w:beforeAutospacing="0" w:after="62" w:afterLines="20" w:afterAutospacing="0" w:line="360" w:lineRule="auto"/>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pPr>
    </w:p>
    <w:p w14:paraId="79BAB0AD">
      <w:pPr>
        <w:pStyle w:val="2"/>
        <w:shd w:val="clear" w:color="auto" w:fill="FFFFFF"/>
        <w:spacing w:before="62" w:beforeLines="20" w:beforeAutospacing="0" w:after="62" w:afterLines="20" w:afterAutospacing="0" w:line="360" w:lineRule="auto"/>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pPr>
    </w:p>
    <w:p w14:paraId="630788C3">
      <w:pPr>
        <w:pStyle w:val="2"/>
        <w:shd w:val="clear" w:color="auto" w:fill="FFFFFF"/>
        <w:spacing w:before="62" w:beforeLines="20" w:beforeAutospacing="0" w:after="62" w:afterLines="20" w:afterAutospacing="0" w:line="360" w:lineRule="auto"/>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pPr>
    </w:p>
    <w:p w14:paraId="516055A5">
      <w:pPr>
        <w:pStyle w:val="2"/>
        <w:shd w:val="clear" w:color="auto" w:fill="FFFFFF"/>
        <w:spacing w:before="62" w:beforeLines="20" w:beforeAutospacing="0" w:after="62" w:afterLines="20" w:afterAutospacing="0" w:line="360" w:lineRule="auto"/>
        <w:rPr>
          <w:rFonts w:hint="eastAsia" w:ascii="方正小标宋_GBK" w:hAnsi="方正小标宋简体" w:eastAsia="方正小标宋简体" w:cs="方正小标宋简体"/>
          <w:bCs w:val="0"/>
          <w:color w:val="000000" w:themeColor="text1"/>
          <w:sz w:val="36"/>
          <w:szCs w:val="36"/>
          <w:shd w:val="clear" w:color="auto" w:fill="FFFFFF"/>
          <w:lang w:eastAsia="zh-CN"/>
          <w14:textFill>
            <w14:solidFill>
              <w14:schemeClr w14:val="tx1"/>
            </w14:solidFill>
          </w14:textFill>
        </w:rPr>
      </w:pPr>
      <w:r>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t>学习材料</w:t>
      </w:r>
      <w:r>
        <w:rPr>
          <w:rFonts w:hint="eastAsia" w:ascii="方正小标宋简体" w:hAnsi="方正小标宋简体" w:eastAsia="方正小标宋简体" w:cs="方正小标宋简体"/>
          <w:bCs w:val="0"/>
          <w:color w:val="000000" w:themeColor="text1"/>
          <w:sz w:val="24"/>
          <w:szCs w:val="24"/>
          <w:shd w:val="clear" w:color="auto" w:fill="FFFFFF"/>
          <w:lang w:val="en-US" w:eastAsia="zh-CN"/>
          <w14:textFill>
            <w14:solidFill>
              <w14:schemeClr w14:val="tx1"/>
            </w14:solidFill>
          </w14:textFill>
        </w:rPr>
        <w:t>6</w:t>
      </w:r>
    </w:p>
    <w:p w14:paraId="6F61897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300" w:afterAutospacing="0" w:line="570" w:lineRule="exact"/>
        <w:ind w:left="0" w:right="0" w:firstLine="0"/>
        <w:jc w:val="center"/>
        <w:textAlignment w:val="auto"/>
        <w:rPr>
          <w:rFonts w:hint="eastAsia" w:ascii="方正公文小标宋" w:hAnsi="方正公文小标宋" w:eastAsia="方正公文小标宋" w:cs="方正公文小标宋"/>
          <w:b w:val="0"/>
          <w:bCs w:val="0"/>
          <w:i w:val="0"/>
          <w:iCs w:val="0"/>
          <w:caps w:val="0"/>
          <w:color w:val="000000" w:themeColor="text1"/>
          <w:spacing w:val="0"/>
          <w:sz w:val="36"/>
          <w:szCs w:val="36"/>
          <w14:textFill>
            <w14:solidFill>
              <w14:schemeClr w14:val="tx1"/>
            </w14:solidFill>
          </w14:textFill>
        </w:rPr>
      </w:pPr>
      <w:r>
        <w:rPr>
          <w:rFonts w:hint="eastAsia" w:ascii="方正公文小标宋" w:hAnsi="方正公文小标宋" w:eastAsia="方正公文小标宋" w:cs="方正公文小标宋"/>
          <w:b w:val="0"/>
          <w:bCs w:val="0"/>
          <w:i w:val="0"/>
          <w:iCs w:val="0"/>
          <w:caps w:val="0"/>
          <w:color w:val="000000" w:themeColor="text1"/>
          <w:spacing w:val="0"/>
          <w:sz w:val="36"/>
          <w:szCs w:val="36"/>
          <w:shd w:val="clear" w:fill="FFFFFF"/>
          <w14:textFill>
            <w14:solidFill>
              <w14:schemeClr w14:val="tx1"/>
            </w14:solidFill>
          </w14:textFill>
        </w:rPr>
        <w:t>学习省委常委会（扩大）会议精神</w:t>
      </w:r>
    </w:p>
    <w:p w14:paraId="5C950133">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11月3日，省委书记许勤主持召开省委常委会（扩大）会议，传达学习习近平总书记在省部级主要领导干部学习贯彻党的二十届三中全会精神专题研讨班开班式上的重要讲话、在金砖国家领导人第十六次会晤和“金砖+”领导人对话会上的重要讲话、给中国红十字会第十二次全国会员代表大会的重要致信和10月28日中共中央政治局会议精神，研究贯彻落实意见。</w:t>
      </w:r>
    </w:p>
    <w:p w14:paraId="4FFEA56C">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会议指出，习近平总书记在研讨班开班式上的重要讲话，立意高远、思想深邃、视野宏阔、内涵丰富，深刻总结新时代全面深化改革取得的历史性成就，深刻阐明进一步全面深化改革一系列重大理论和实践问题，具有极强的政治引领性、理论开创性、实践指导性，是以进一步全面深化改革推进中国式现代化的纲领性文献，对新时代新征程进一步全面深化改革、打开事业发展新天地具有重大而深远意义。</w:t>
      </w:r>
    </w:p>
    <w:p w14:paraId="163BFF08">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会议强调，全省上下要认真学习贯彻习近平总书记重要讲话精神，深刻领会总书记关于全面深化改革的一系列新思想、新观点、新论断，充分认识党的十八大以来全面深化改革取得的重大实践成果、制度成果、理论成果，牢牢把握进一步全面深化改革的指导思想、总体目标、重大原则、科学方法，坚定信心、凝心聚力，以忠诚拥护“两个确立”、坚决做到“两个维护”的政治自觉，坚定不移沿着总书记指引方向把改革推向前进。要始终坚守守正创新重大原则，毫不动摇坚持党的全面领导、坚持马克思主义、坚持中国特色社会主义、坚持人民民主专政，以促进社会公平正义、增进人民福祉为出发点和落脚点，突出经济体制改革这个重点，全面协调推进各方面改革，确保进一步全面深化改革行稳致远。要准确把握全面深化改革的科学方法，坚持改革和法治相统一，以改革完善法治、以法治保障改革，坚持破和立的辩证统一，破立并举、先立后破，坚持改革和开放相统一，以开放促改革促发展，处理好部署和落实的关系，把握客观规律，细化改革举措，以钉钉子精神抓好改革任务落实。要坚持以高质量党建保证改革顺利推进，扛起全面深化改革政治责任，对标对表党的二十届三中全会各项改革任务，按照省委十三届六次全会部署要求，建立健全工作机制，强化改革调度督察，提高推动改革能力，加强舆论引导，广泛凝聚共识，汇聚各方力量，以进一步全面深化改革谱写中国式现代化龙江新篇章。</w:t>
      </w:r>
    </w:p>
    <w:p w14:paraId="2152773D">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会议强调，各地各部门要认真学习贯彻习近平总书记在出席金砖国家领导人第十六次会晤等活动时的重要讲话精神，落实‌‌和平金砖、‌‌创新金砖、‌‌绿色金砖、‌‌公正金砖、‌‌人文金砖‌“大金砖合作”高质量发展“五大主张”，推进金砖合作框架内地方间合作，充分用好亚冬会、中俄博览会等平台，扩大全球“朋友圈”，拓展合作新领域，谱写人文交流新篇章，在深化全球合作中推动高水平对外开放，着力建设开放龙江，更好服务大国外交。</w:t>
      </w:r>
    </w:p>
    <w:p w14:paraId="4F2004C4">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会议强调，各级党委（党组）和巡视巡察机构要认真贯彻习近平总书记关于巡视工作的重要论述，全面落实中央政治局会议精神，突出“两个维护”深化政治监督，严明政治纪律政治规矩，确保习近平总书记重要讲话重要指示和党中央决策部署不折不扣贯彻落实。严肃认真抓好巡视整改，强化“一把手”和领导班子成员政治责任，扎实推进中央巡视反馈意见整改工作“回头看”，切实做到以巡促改、以巡促建、以巡促治。围绕党组织履职尽责、落实改革部署、防范化解风险等情况加强监督，坚持全面从严，深化标本兼治，推动正风肃纪反腐，营造风清气正政治生态。</w:t>
      </w:r>
    </w:p>
    <w:p w14:paraId="7FBA4DCB">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会议强调，各级党委政府和红十字会要认真学习贯彻习近平总书记重要致信精神，坚持党的全面领导，把握正确方向，坚持以人民为中心的发展思想，强化“三救三献”工作，坚持依法建会治会兴会，建立健全高效透明规范的体制机制，不断提高公信力和人道服务能力，增强社会感召力影响力，引导社会各界积极参与，推动全省红十字事业高质量发展。</w:t>
      </w:r>
    </w:p>
    <w:p w14:paraId="512280B1">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会议要求，各地各部门要扎实做好岁末年初各项工作，精准调度经济运行，加大招商引资和项目建设力度，做好粮食收储和秋冬季农业生产，抓好水电气热等民生保障，强化交通、煤矿、消防、建筑、燃气、旅游景区等重点领域安全监管，谋划好明年和“十五五”规划编制工作，确保今年顺利收官和明年良好开局。</w:t>
      </w:r>
    </w:p>
    <w:p w14:paraId="1B155542">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会议还研究了其他事项。</w:t>
      </w:r>
    </w:p>
    <w:p w14:paraId="496E315A">
      <w:pPr>
        <w:pStyle w:val="9"/>
        <w:widowControl w:val="0"/>
        <w:shd w:val="clear" w:color="auto" w:fill="FFFFFF"/>
        <w:snapToGrid w:val="0"/>
        <w:spacing w:before="0" w:beforeAutospacing="0" w:after="0" w:afterAutospacing="0" w:line="360" w:lineRule="auto"/>
        <w:ind w:firstLine="640" w:firstLineChars="200"/>
        <w:jc w:val="both"/>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14:paraId="114881B1">
      <w:pPr>
        <w:pStyle w:val="9"/>
        <w:widowControl w:val="0"/>
        <w:shd w:val="clear" w:color="auto" w:fill="FFFFFF"/>
        <w:snapToGrid w:val="0"/>
        <w:spacing w:before="0" w:beforeAutospacing="0" w:after="0" w:afterAutospacing="0" w:line="360" w:lineRule="auto"/>
        <w:ind w:firstLine="640" w:firstLineChars="200"/>
        <w:jc w:val="both"/>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14:paraId="660F50A4">
      <w:pPr>
        <w:pStyle w:val="9"/>
        <w:widowControl w:val="0"/>
        <w:shd w:val="clear" w:color="auto" w:fill="FFFFFF"/>
        <w:snapToGrid w:val="0"/>
        <w:spacing w:before="0" w:beforeAutospacing="0" w:after="0" w:afterAutospacing="0" w:line="360" w:lineRule="auto"/>
        <w:ind w:firstLine="640" w:firstLineChars="200"/>
        <w:jc w:val="both"/>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14:paraId="7637FE4B">
      <w:pPr>
        <w:pStyle w:val="2"/>
        <w:shd w:val="clear" w:color="auto" w:fill="FFFFFF"/>
        <w:spacing w:before="62" w:beforeLines="20" w:beforeAutospacing="0" w:after="62" w:afterLines="20" w:afterAutospacing="0" w:line="360" w:lineRule="auto"/>
        <w:rPr>
          <w:rFonts w:hint="default" w:ascii="方正小标宋_GBK" w:hAnsi="方正小标宋简体" w:eastAsia="方正小标宋简体" w:cs="方正小标宋简体"/>
          <w:bCs w:val="0"/>
          <w:color w:val="000000" w:themeColor="text1"/>
          <w:sz w:val="36"/>
          <w:szCs w:val="36"/>
          <w:shd w:val="clear" w:color="auto" w:fill="FFFFFF"/>
          <w:lang w:val="en-US" w:eastAsia="zh-CN"/>
          <w14:textFill>
            <w14:solidFill>
              <w14:schemeClr w14:val="tx1"/>
            </w14:solidFill>
          </w14:textFill>
        </w:rPr>
      </w:pPr>
      <w:r>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t>学习材料</w:t>
      </w:r>
      <w:r>
        <w:rPr>
          <w:rFonts w:hint="eastAsia" w:ascii="方正小标宋简体" w:hAnsi="方正小标宋简体" w:eastAsia="方正小标宋简体" w:cs="方正小标宋简体"/>
          <w:bCs w:val="0"/>
          <w:color w:val="000000" w:themeColor="text1"/>
          <w:sz w:val="24"/>
          <w:szCs w:val="24"/>
          <w:shd w:val="clear" w:color="auto" w:fill="FFFFFF"/>
          <w:lang w:val="en-US" w:eastAsia="zh-CN"/>
          <w14:textFill>
            <w14:solidFill>
              <w14:schemeClr w14:val="tx1"/>
            </w14:solidFill>
          </w14:textFill>
        </w:rPr>
        <w:t>7</w:t>
      </w:r>
    </w:p>
    <w:p w14:paraId="10D0E44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300" w:afterAutospacing="0" w:line="570" w:lineRule="exact"/>
        <w:ind w:left="0" w:right="0" w:firstLine="0"/>
        <w:jc w:val="center"/>
        <w:textAlignment w:val="auto"/>
        <w:rPr>
          <w:rFonts w:hint="eastAsia" w:ascii="方正公文小标宋" w:hAnsi="方正公文小标宋" w:eastAsia="方正公文小标宋" w:cs="方正公文小标宋"/>
          <w:b w:val="0"/>
          <w:bCs w:val="0"/>
          <w:i w:val="0"/>
          <w:iCs w:val="0"/>
          <w:caps w:val="0"/>
          <w:color w:val="000000" w:themeColor="text1"/>
          <w:spacing w:val="0"/>
          <w:sz w:val="36"/>
          <w:szCs w:val="36"/>
          <w14:textFill>
            <w14:solidFill>
              <w14:schemeClr w14:val="tx1"/>
            </w14:solidFill>
          </w14:textFill>
        </w:rPr>
      </w:pPr>
      <w:r>
        <w:rPr>
          <w:rFonts w:hint="eastAsia" w:ascii="方正公文小标宋" w:hAnsi="方正公文小标宋" w:eastAsia="方正公文小标宋" w:cs="方正公文小标宋"/>
          <w:b w:val="0"/>
          <w:bCs w:val="0"/>
          <w:i w:val="0"/>
          <w:iCs w:val="0"/>
          <w:caps w:val="0"/>
          <w:color w:val="000000" w:themeColor="text1"/>
          <w:spacing w:val="0"/>
          <w:sz w:val="36"/>
          <w:szCs w:val="36"/>
          <w:shd w:val="clear" w:fill="FFFFFF"/>
          <w14:textFill>
            <w14:solidFill>
              <w14:schemeClr w14:val="tx1"/>
            </w14:solidFill>
          </w14:textFill>
        </w:rPr>
        <w:t>学习中央组织部高层次专家咨询服务活动“龙江行”启动会议精神</w:t>
      </w:r>
    </w:p>
    <w:p w14:paraId="4E7B9993">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18030" w:hAnsi="方正仿宋_GB18030" w:eastAsia="方正仿宋_GB18030" w:cs="方正仿宋_GB18030"/>
          <w:i w:val="0"/>
          <w:iCs w:val="0"/>
          <w:caps w:val="0"/>
          <w:color w:val="000000" w:themeColor="text1"/>
          <w:spacing w:val="0"/>
          <w:sz w:val="32"/>
          <w:szCs w:val="32"/>
          <w14:textFill>
            <w14:solidFill>
              <w14:schemeClr w14:val="tx1"/>
            </w14:solidFill>
          </w14:textFill>
        </w:rPr>
      </w:pPr>
      <w:r>
        <w:rPr>
          <w:rFonts w:hint="eastAsia" w:ascii="方正仿宋_GB18030" w:hAnsi="方正仿宋_GB18030" w:eastAsia="方正仿宋_GB18030" w:cs="方正仿宋_GB18030"/>
          <w:i w:val="0"/>
          <w:iCs w:val="0"/>
          <w:caps w:val="0"/>
          <w:color w:val="000000" w:themeColor="text1"/>
          <w:spacing w:val="0"/>
          <w:sz w:val="32"/>
          <w:szCs w:val="32"/>
          <w:shd w:val="clear" w:fill="FFFFFF"/>
          <w14:textFill>
            <w14:solidFill>
              <w14:schemeClr w14:val="tx1"/>
            </w14:solidFill>
          </w14:textFill>
        </w:rPr>
        <w:t>11月4日，由中央组织部主办、教育部牵头，以“加快形成新质生产力·塑造发展新动能新优势”为主题的高层次专家咨询服务活动“龙江行”启动会议在哈尔滨举行。省委书记、省人大常委会主任许勤讲话，省委副书记、省长梁惠玲介绍全省经济社会发展情况，教育部副部长熊四皓讲话，中国工程院副院长、中国医学科学院北京协和医学院院校长王辰发言，中央组织部、教育部有关司局负责同志出席。</w:t>
      </w:r>
    </w:p>
    <w:p w14:paraId="6D1C3F16">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18030" w:hAnsi="方正仿宋_GB18030" w:eastAsia="方正仿宋_GB18030" w:cs="方正仿宋_GB18030"/>
          <w:i w:val="0"/>
          <w:iCs w:val="0"/>
          <w:caps w:val="0"/>
          <w:color w:val="000000" w:themeColor="text1"/>
          <w:spacing w:val="0"/>
          <w:sz w:val="32"/>
          <w:szCs w:val="32"/>
          <w14:textFill>
            <w14:solidFill>
              <w14:schemeClr w14:val="tx1"/>
            </w14:solidFill>
          </w14:textFill>
        </w:rPr>
      </w:pPr>
      <w:r>
        <w:rPr>
          <w:rFonts w:hint="eastAsia" w:ascii="方正仿宋_GB18030" w:hAnsi="方正仿宋_GB18030" w:eastAsia="方正仿宋_GB18030" w:cs="方正仿宋_GB18030"/>
          <w:i w:val="0"/>
          <w:iCs w:val="0"/>
          <w:caps w:val="0"/>
          <w:color w:val="000000" w:themeColor="text1"/>
          <w:spacing w:val="0"/>
          <w:sz w:val="32"/>
          <w:szCs w:val="32"/>
          <w:shd w:val="clear" w:fill="FFFFFF"/>
          <w14:textFill>
            <w14:solidFill>
              <w14:schemeClr w14:val="tx1"/>
            </w14:solidFill>
          </w14:textFill>
        </w:rPr>
        <w:t>许勤代表省委、省政府衷心感谢中央组织部、教育部等中央部委给予黑龙江的关心支持，诚挚欢迎各位院士专家到黑龙江开展咨询服务。他表示，开展高层次专家咨询服务活动，是贯彻习近平总书记重要指示精神和党中央决策部署的实际行动，是集聚高端人才智力资源、推动高质量发展的具体举措，必将有力促进黑龙江全面振兴。当前，黑龙江正全面贯彻落实习近平总书记视察我省期间重要讲话重要指示和党的二十届三中全会精神，坚持以科技创新引领产业创新，着力构建创新体系、产业体系和人才政策体系，打造发展新质生产力忠诚实践地。希望各位院士专家把智力、技术、专业优势同黑龙江科教、产业、资源优势紧密结合起来，携手服务国家战略，共同实施国家重大科技专项，建设全国和省级重点实验室、技术中心、工程中心、创新中心等平台，加强关键技术攻关，打造更多国之重器；携手推进科技创新，共同推动产学研用深度融合，促进科研成果就地转化，催生新产业新业态新模式，抢占未来发展制高点；携手加快产业振兴，共同打造数字经济、人工智能、生物经济、冰雪经济、创意设计等新引擎，推进传统产业升级、新兴产业壮大、未来产业培育，塑造新动能新优势；携手培育创新力量，共同推进教育科技人才事业发展，培养更多一流科技领军人才和创新团队，为建设人才强国、教育强国作出更大贡献。各地各部门要与院士专家积极沟通对接，建立长期合作机制，把高质量咨询成果转化为推动高质量振兴发展实际成效。</w:t>
      </w:r>
    </w:p>
    <w:p w14:paraId="78AEEAD5">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18030" w:hAnsi="方正仿宋_GB18030" w:eastAsia="方正仿宋_GB18030" w:cs="方正仿宋_GB18030"/>
          <w:i w:val="0"/>
          <w:iCs w:val="0"/>
          <w:caps w:val="0"/>
          <w:color w:val="000000" w:themeColor="text1"/>
          <w:spacing w:val="0"/>
          <w:sz w:val="32"/>
          <w:szCs w:val="32"/>
          <w14:textFill>
            <w14:solidFill>
              <w14:schemeClr w14:val="tx1"/>
            </w14:solidFill>
          </w14:textFill>
        </w:rPr>
      </w:pPr>
      <w:r>
        <w:rPr>
          <w:rFonts w:hint="eastAsia" w:ascii="方正仿宋_GB18030" w:hAnsi="方正仿宋_GB18030" w:eastAsia="方正仿宋_GB18030" w:cs="方正仿宋_GB18030"/>
          <w:i w:val="0"/>
          <w:iCs w:val="0"/>
          <w:caps w:val="0"/>
          <w:color w:val="000000" w:themeColor="text1"/>
          <w:spacing w:val="0"/>
          <w:sz w:val="32"/>
          <w:szCs w:val="32"/>
          <w:shd w:val="clear" w:fill="FFFFFF"/>
          <w14:textFill>
            <w14:solidFill>
              <w14:schemeClr w14:val="tx1"/>
            </w14:solidFill>
          </w14:textFill>
        </w:rPr>
        <w:t>梁惠玲说，黑龙江省地处我国最北最东，具有突出的资源优势、生态优势、科研优势、产业优势、区位优势，肩负着维护国家“五大安全”重大政治责任。全省上下全面落实习近平总书记视察我省期间重要讲话重要指示精神，牢牢把握龙江在国家发展大局中的战略定位，以科技创新引领产业全面振兴，建好建强“三基地一屏障一高地”，加快建设“六个龙江”、推进“八个振兴”，奋力开创高质量发展、可持续振兴新局面。此次高层次专家咨询服务活动，是深入贯彻落实党的二十届三中全会精神的务实举措，是龙江借力推动高质量发展的难得机遇。希望各位院士专家发挥专长，为加快龙江振兴发展建言献策。 </w:t>
      </w:r>
    </w:p>
    <w:p w14:paraId="58334143">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18030" w:hAnsi="方正仿宋_GB18030" w:eastAsia="方正仿宋_GB18030" w:cs="方正仿宋_GB18030"/>
          <w:i w:val="0"/>
          <w:iCs w:val="0"/>
          <w:caps w:val="0"/>
          <w:color w:val="000000" w:themeColor="text1"/>
          <w:spacing w:val="0"/>
          <w:sz w:val="32"/>
          <w:szCs w:val="32"/>
          <w14:textFill>
            <w14:solidFill>
              <w14:schemeClr w14:val="tx1"/>
            </w14:solidFill>
          </w14:textFill>
        </w:rPr>
      </w:pPr>
      <w:r>
        <w:rPr>
          <w:rFonts w:hint="eastAsia" w:ascii="方正仿宋_GB18030" w:hAnsi="方正仿宋_GB18030" w:eastAsia="方正仿宋_GB18030" w:cs="方正仿宋_GB18030"/>
          <w:i w:val="0"/>
          <w:iCs w:val="0"/>
          <w:caps w:val="0"/>
          <w:color w:val="000000" w:themeColor="text1"/>
          <w:spacing w:val="0"/>
          <w:sz w:val="32"/>
          <w:szCs w:val="32"/>
          <w:shd w:val="clear" w:fill="FFFFFF"/>
          <w14:textFill>
            <w14:solidFill>
              <w14:schemeClr w14:val="tx1"/>
            </w14:solidFill>
          </w14:textFill>
        </w:rPr>
        <w:t>熊四皓表示，今年高层次专家咨询服务活动首站放在黑龙江，充分体现了党中央对黑龙江经济社会发展的关心支持。希望各位院士专家增强政治责任感，弘扬教育家和科学家精神，把爱国之情和报国之志融入到活动中，充分发挥智力优势、技术优势、信息优势，以昂扬精神面貌开展好咨询服务各项活动，以精准的智力支持助力龙江经济社会发展，坚决完成好党中央交办的重大任务。教育部将一如既往积极支持黑龙江发展，共同为东北振兴添砖加瓦。 </w:t>
      </w:r>
    </w:p>
    <w:p w14:paraId="6A808192">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18030" w:hAnsi="方正仿宋_GB18030" w:eastAsia="方正仿宋_GB18030" w:cs="方正仿宋_GB18030"/>
          <w:i w:val="0"/>
          <w:iCs w:val="0"/>
          <w:caps w:val="0"/>
          <w:color w:val="000000" w:themeColor="text1"/>
          <w:spacing w:val="0"/>
          <w:sz w:val="32"/>
          <w:szCs w:val="32"/>
          <w14:textFill>
            <w14:solidFill>
              <w14:schemeClr w14:val="tx1"/>
            </w14:solidFill>
          </w14:textFill>
        </w:rPr>
      </w:pPr>
      <w:r>
        <w:rPr>
          <w:rFonts w:hint="eastAsia" w:ascii="方正仿宋_GB18030" w:hAnsi="方正仿宋_GB18030" w:eastAsia="方正仿宋_GB18030" w:cs="方正仿宋_GB18030"/>
          <w:i w:val="0"/>
          <w:iCs w:val="0"/>
          <w:caps w:val="0"/>
          <w:color w:val="000000" w:themeColor="text1"/>
          <w:spacing w:val="0"/>
          <w:sz w:val="32"/>
          <w:szCs w:val="32"/>
          <w:shd w:val="clear" w:fill="FFFFFF"/>
          <w14:textFill>
            <w14:solidFill>
              <w14:schemeClr w14:val="tx1"/>
            </w14:solidFill>
          </w14:textFill>
        </w:rPr>
        <w:t>王辰表示，黑龙江科教资源丰富、产业基础坚实，在国家发展大局中地位十分重要。将围绕国家战略需求和龙江发展实际，围绕重大政策、重大任务、重大工程谋划开展咨询服务，聚焦科技平台建设、推动科技创新和产业创新、科研人才培育等领域深化对接合作，使科技创新成为培育发展新质生产力的重要引擎，更好助力黑龙江高质量发展、可持续振兴。 </w:t>
      </w:r>
    </w:p>
    <w:p w14:paraId="3B574A94">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18030" w:hAnsi="方正仿宋_GB18030" w:eastAsia="方正仿宋_GB18030" w:cs="方正仿宋_GB18030"/>
          <w:i w:val="0"/>
          <w:iCs w:val="0"/>
          <w:caps w:val="0"/>
          <w:color w:val="000000" w:themeColor="text1"/>
          <w:spacing w:val="0"/>
          <w:sz w:val="32"/>
          <w:szCs w:val="32"/>
          <w14:textFill>
            <w14:solidFill>
              <w14:schemeClr w14:val="tx1"/>
            </w14:solidFill>
          </w14:textFill>
        </w:rPr>
      </w:pPr>
      <w:r>
        <w:rPr>
          <w:rFonts w:hint="eastAsia" w:ascii="方正仿宋_GB18030" w:hAnsi="方正仿宋_GB18030" w:eastAsia="方正仿宋_GB18030" w:cs="方正仿宋_GB18030"/>
          <w:i w:val="0"/>
          <w:iCs w:val="0"/>
          <w:caps w:val="0"/>
          <w:color w:val="000000" w:themeColor="text1"/>
          <w:spacing w:val="0"/>
          <w:sz w:val="32"/>
          <w:szCs w:val="32"/>
          <w:shd w:val="clear" w:fill="FFFFFF"/>
          <w14:textFill>
            <w14:solidFill>
              <w14:schemeClr w14:val="tx1"/>
            </w14:solidFill>
          </w14:textFill>
        </w:rPr>
        <w:t>省领导张安顺、杨博、陈少波、于洪涛、徐向国、张起翔，哈尔滨工业大学校长韩杰才，李玉、邓子新、吴光辉、方滨兴、于登云、刘世荣、邹汝平、康绍忠、李劲东、赵春江、邓建军、姚斌、黄璐琦、张学等院士专家，我省有关市地及中省直部门、企业、高校、科研院所负责同志参加。佳木斯市委主要负责同志代表接受咨询服务单位发言。 </w:t>
      </w:r>
    </w:p>
    <w:p w14:paraId="6B923744">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14:paraId="40F89B6F">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14:paraId="75605239">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14:paraId="24F38693">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14:paraId="1D995E6E">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14:paraId="1A006F57">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14:paraId="637BABD2">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14:paraId="3A37E6B1">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14:paraId="58807CF8">
      <w:pPr>
        <w:pStyle w:val="2"/>
        <w:shd w:val="clear" w:color="auto" w:fill="FFFFFF"/>
        <w:spacing w:before="62" w:beforeLines="20" w:beforeAutospacing="0" w:after="62" w:afterLines="20" w:afterAutospacing="0" w:line="360" w:lineRule="auto"/>
        <w:rPr>
          <w:rFonts w:hint="eastAsia" w:ascii="方正小标宋_GBK" w:hAnsi="方正小标宋简体" w:eastAsia="方正小标宋简体" w:cs="方正小标宋简体"/>
          <w:bCs w:val="0"/>
          <w:color w:val="000000" w:themeColor="text1"/>
          <w:sz w:val="36"/>
          <w:szCs w:val="36"/>
          <w:shd w:val="clear" w:color="auto" w:fill="FFFFFF"/>
          <w:lang w:val="en-US" w:eastAsia="zh-CN"/>
          <w14:textFill>
            <w14:solidFill>
              <w14:schemeClr w14:val="tx1"/>
            </w14:solidFill>
          </w14:textFill>
        </w:rPr>
      </w:pPr>
      <w:r>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t>学习材料</w:t>
      </w:r>
      <w:r>
        <w:rPr>
          <w:rFonts w:hint="eastAsia" w:ascii="方正小标宋简体" w:hAnsi="方正小标宋简体" w:eastAsia="方正小标宋简体" w:cs="方正小标宋简体"/>
          <w:bCs w:val="0"/>
          <w:color w:val="000000" w:themeColor="text1"/>
          <w:sz w:val="24"/>
          <w:szCs w:val="24"/>
          <w:shd w:val="clear" w:color="auto" w:fill="FFFFFF"/>
          <w:lang w:val="en-US" w:eastAsia="zh-CN"/>
          <w14:textFill>
            <w14:solidFill>
              <w14:schemeClr w14:val="tx1"/>
            </w14:solidFill>
          </w14:textFill>
        </w:rPr>
        <w:t>8</w:t>
      </w:r>
    </w:p>
    <w:p w14:paraId="3823FE1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300" w:afterAutospacing="0" w:line="570" w:lineRule="exact"/>
        <w:ind w:left="0" w:right="0" w:firstLine="0"/>
        <w:jc w:val="center"/>
        <w:textAlignment w:val="auto"/>
        <w:rPr>
          <w:rFonts w:hint="eastAsia" w:ascii="方正公文小标宋" w:hAnsi="方正公文小标宋" w:eastAsia="方正公文小标宋" w:cs="方正公文小标宋"/>
          <w:b w:val="0"/>
          <w:bCs w:val="0"/>
          <w:i w:val="0"/>
          <w:iCs w:val="0"/>
          <w:caps w:val="0"/>
          <w:color w:val="000000" w:themeColor="text1"/>
          <w:spacing w:val="0"/>
          <w:sz w:val="36"/>
          <w:szCs w:val="36"/>
          <w:shd w:val="clear" w:fill="FFFFFF"/>
          <w14:textFill>
            <w14:solidFill>
              <w14:schemeClr w14:val="tx1"/>
            </w14:solidFill>
          </w14:textFill>
        </w:rPr>
      </w:pPr>
      <w:r>
        <w:rPr>
          <w:rFonts w:hint="eastAsia" w:ascii="方正公文小标宋" w:hAnsi="方正公文小标宋" w:eastAsia="方正公文小标宋" w:cs="方正公文小标宋"/>
          <w:b w:val="0"/>
          <w:bCs w:val="0"/>
          <w:i w:val="0"/>
          <w:iCs w:val="0"/>
          <w:caps w:val="0"/>
          <w:color w:val="000000" w:themeColor="text1"/>
          <w:spacing w:val="0"/>
          <w:sz w:val="36"/>
          <w:szCs w:val="36"/>
          <w:shd w:val="clear" w:fill="FFFFFF"/>
          <w14:textFill>
            <w14:solidFill>
              <w14:schemeClr w14:val="tx1"/>
            </w14:solidFill>
          </w14:textFill>
        </w:rPr>
        <w:t>许勤主持召开十三届省委全面深化改革委员会</w:t>
      </w:r>
    </w:p>
    <w:p w14:paraId="6CFEE85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300" w:afterAutospacing="0" w:line="570" w:lineRule="exact"/>
        <w:ind w:left="0" w:right="0" w:firstLine="0"/>
        <w:jc w:val="center"/>
        <w:textAlignment w:val="auto"/>
        <w:rPr>
          <w:rFonts w:hint="eastAsia" w:ascii="方正公文小标宋" w:hAnsi="方正公文小标宋" w:eastAsia="方正公文小标宋" w:cs="方正公文小标宋"/>
          <w:b w:val="0"/>
          <w:bCs w:val="0"/>
          <w:i w:val="0"/>
          <w:iCs w:val="0"/>
          <w:caps w:val="0"/>
          <w:color w:val="000000" w:themeColor="text1"/>
          <w:spacing w:val="0"/>
          <w:sz w:val="36"/>
          <w:szCs w:val="36"/>
          <w14:textFill>
            <w14:solidFill>
              <w14:schemeClr w14:val="tx1"/>
            </w14:solidFill>
          </w14:textFill>
        </w:rPr>
      </w:pPr>
      <w:r>
        <w:rPr>
          <w:rFonts w:hint="eastAsia" w:ascii="方正公文小标宋" w:hAnsi="方正公文小标宋" w:eastAsia="方正公文小标宋" w:cs="方正公文小标宋"/>
          <w:b w:val="0"/>
          <w:bCs w:val="0"/>
          <w:i w:val="0"/>
          <w:iCs w:val="0"/>
          <w:caps w:val="0"/>
          <w:color w:val="000000" w:themeColor="text1"/>
          <w:spacing w:val="0"/>
          <w:sz w:val="36"/>
          <w:szCs w:val="36"/>
          <w:shd w:val="clear" w:fill="FFFFFF"/>
          <w14:textFill>
            <w14:solidFill>
              <w14:schemeClr w14:val="tx1"/>
            </w14:solidFill>
          </w14:textFill>
        </w:rPr>
        <w:t>第六次会议</w:t>
      </w:r>
    </w:p>
    <w:p w14:paraId="43A262FF">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日前，省委书记、省委全面深化改革委员会主任许勤主持召开十三届省委全面深化改革委员会第六次会议，深入学习贯彻习近平总书记关于全面深化改革的重要论述，传达中央深改委第五次、第六次会议精神，审议《贯彻落实〈关于健全种粮农民收益保障机制和粮食主产区利益补偿机制的意见〉的工作措施》、《贯彻落实〈关于进一步提升基层应急管理能力的意见〉的实施意见》、《贯彻落实〈关于完善中国特色现代企业制度的意见〉的工作措施》、《贯彻落实〈关于改革土地管理制度增强对优势地区高质量发展保障能力的意见〉的工作措施》，听取省委十三届六次全会各项改革任务落实情况汇报，部署进一步全面深化改革工作。</w:t>
      </w:r>
    </w:p>
    <w:p w14:paraId="269A3F19">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许勤在主持会议时强调，各地各部门要全面贯彻落实党的二十届三中全会精神、习近平总书记在省部级主要领导干部学习贯彻党的二十届三中全会精神专题研讨班开班式上的重要讲话精神和中央深改委会议部署，按照省委十三届六次全会要求，强化政治担当，增强改革主动，落实改革任务，提高改革实效，为推进中国式现代化龙江实践提供强大动力和制度保障。</w:t>
      </w:r>
    </w:p>
    <w:p w14:paraId="5E58FECB">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省委全面深化改革委员会副主任梁惠玲、张安顺出席会议。</w:t>
      </w:r>
    </w:p>
    <w:p w14:paraId="0DA7A829">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会议强调，要把提高农业综合生产能力摆在更加突出位置，落实粮食生产支持保护政策，完善粮食主产区奖补激励制度，创新产销区利益联结机制，提高农民种粮、地方抓粮积极性，当好国家粮食安全“压舱石”。要提升基层应急管理组织指挥能力、安全风险防范能力和救援队伍实战能力，推动公共安全治理模式向事前预防转型，建强多层次应急救援队伍体系，完善突发事件全链条应对处置机制。要强化国有企业党的领导，加强和改进非公有制企业党的建设，完善公司治理结构，提升企业科学管理水平，健全企业激励创新制度，增强企业核心竞争力。要严格实施国土空间规划，严守耕地和永久基本农田、生态保护红线、城镇开发边界三条控制线，落实权责清晰、适度灵活的土地管理制度，提高土地资源配置使用效率，增强对高质量发展的保障能力。</w:t>
      </w:r>
    </w:p>
    <w:p w14:paraId="4052F244">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会议指出，进一步全面深化改革、推进中国式现代化是党中央作出的重大战略部署。各地各部门要增强全面深化改革政治责任感和历史使命感，深学细悟习近平总书记关于全面深化改革的一系列新思想、新观点、新论断，全面贯彻落实党的二十届三中全会精神，以忠诚拥护“两个确立”、坚决做到“两个维护”的政治自觉，坚定不移把改革推向前进。要运用科学方法指导和推进改革，坚持守正创新、问题导向、系统思维，坚持改革和法治相统一、破和立的辩证统一、改革和开放相统一，处理好部署和落实的关系，统筹点线面、把握时度效，增强改革系统性整体性协同性。要抓好改革任务落实，把准改革重点和方向，加大改革攻坚力度，争取更多改革纳入国家试点，推出一批首创性、集成式、标志性改革，着力解决高质量发展急需和群众急难愁盼问题，以改革增动力添活力，以改革谋发展促振兴。要加强党对全面深化改革的领导，各级党委要加强组织领导，各级深改委及改革办要发挥协调督导作用，各改革专项小组及相关部门要担责尽责，各级领导干部要亲自抓改革促落实，纪检监察机关、组织部门要加强政治监督和考核评价，督查部门要强化跟踪问效，推动各项改革举措不折不扣落地见效。</w:t>
      </w:r>
    </w:p>
    <w:p w14:paraId="29613C9A">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省委全面深化改革委员会委员，有关省领导及省直有关单位负责同志参加。</w:t>
      </w:r>
    </w:p>
    <w:p w14:paraId="00BA1B8E">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500642E7">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07290CB5">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0FF4992E">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7312D785">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7C08A168">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6DD0FDB8">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1E2C84D6">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65944616">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5536AC03">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5F48AB59">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76068ACF">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39086C3D">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2AEBCB57">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1E870B80">
      <w:pPr>
        <w:pStyle w:val="2"/>
        <w:shd w:val="clear" w:color="auto" w:fill="FFFFFF"/>
        <w:spacing w:before="62" w:beforeLines="20" w:beforeAutospacing="0" w:after="62" w:afterLines="20" w:afterAutospacing="0" w:line="360" w:lineRule="auto"/>
        <w:rPr>
          <w:rFonts w:hint="eastAsia" w:ascii="方正小标宋_GBK" w:hAnsi="方正小标宋简体" w:eastAsia="方正小标宋简体" w:cs="方正小标宋简体"/>
          <w:bCs w:val="0"/>
          <w:color w:val="000000" w:themeColor="text1"/>
          <w:sz w:val="36"/>
          <w:szCs w:val="36"/>
          <w:shd w:val="clear" w:color="auto" w:fill="FFFFFF"/>
          <w:lang w:val="en-US" w:eastAsia="zh-CN"/>
          <w14:textFill>
            <w14:solidFill>
              <w14:schemeClr w14:val="tx1"/>
            </w14:solidFill>
          </w14:textFill>
        </w:rPr>
      </w:pPr>
      <w:r>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t>学习材料</w:t>
      </w:r>
      <w:r>
        <w:rPr>
          <w:rFonts w:hint="eastAsia" w:ascii="方正小标宋简体" w:hAnsi="方正小标宋简体" w:eastAsia="方正小标宋简体" w:cs="方正小标宋简体"/>
          <w:bCs w:val="0"/>
          <w:color w:val="000000" w:themeColor="text1"/>
          <w:sz w:val="24"/>
          <w:szCs w:val="24"/>
          <w:shd w:val="clear" w:color="auto" w:fill="FFFFFF"/>
          <w:lang w:val="en-US" w:eastAsia="zh-CN"/>
          <w14:textFill>
            <w14:solidFill>
              <w14:schemeClr w14:val="tx1"/>
            </w14:solidFill>
          </w14:textFill>
        </w:rPr>
        <w:t>9</w:t>
      </w:r>
    </w:p>
    <w:p w14:paraId="41B92F4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300" w:afterAutospacing="0" w:line="570" w:lineRule="exact"/>
        <w:ind w:left="0" w:right="0" w:firstLine="0"/>
        <w:jc w:val="center"/>
        <w:textAlignment w:val="auto"/>
        <w:rPr>
          <w:rFonts w:hint="eastAsia" w:ascii="方正公文小标宋" w:hAnsi="方正公文小标宋" w:eastAsia="方正公文小标宋" w:cs="方正公文小标宋"/>
          <w:b w:val="0"/>
          <w:bCs w:val="0"/>
          <w:i w:val="0"/>
          <w:iCs w:val="0"/>
          <w:caps w:val="0"/>
          <w:color w:val="000000" w:themeColor="text1"/>
          <w:spacing w:val="0"/>
          <w:sz w:val="36"/>
          <w:szCs w:val="36"/>
          <w14:textFill>
            <w14:solidFill>
              <w14:schemeClr w14:val="tx1"/>
            </w14:solidFill>
          </w14:textFill>
        </w:rPr>
      </w:pPr>
      <w:r>
        <w:rPr>
          <w:rFonts w:hint="eastAsia" w:ascii="方正公文小标宋" w:hAnsi="方正公文小标宋" w:eastAsia="方正公文小标宋" w:cs="方正公文小标宋"/>
          <w:b w:val="0"/>
          <w:bCs w:val="0"/>
          <w:i w:val="0"/>
          <w:iCs w:val="0"/>
          <w:caps w:val="0"/>
          <w:color w:val="000000" w:themeColor="text1"/>
          <w:spacing w:val="0"/>
          <w:sz w:val="36"/>
          <w:szCs w:val="36"/>
          <w:shd w:val="clear" w:fill="FFFFFF"/>
          <w14:textFill>
            <w14:solidFill>
              <w14:schemeClr w14:val="tx1"/>
            </w14:solidFill>
          </w14:textFill>
        </w:rPr>
        <w:t>学习省委社会工作会议精神</w:t>
      </w:r>
    </w:p>
    <w:p w14:paraId="726C81A1">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11月26日，省委社会工作会议在哈尔滨召开，省委书记、省人大常委会主任许勤出席并讲话。他强调，要认真学习贯彻习近平总书记关于社会工作的重要论述，全面落实党的二十届三中全会精神，按照中央社会工作会议部署，坚定不移走中国特色社会主义社会治理之路，推动新时代龙江社会工作高质量发展，为强国建设、民族复兴伟业作出更大贡献。</w:t>
      </w:r>
    </w:p>
    <w:p w14:paraId="6050621E">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省委副书记张安顺主持。会议传达学习习近平总书记关于社会工作的重要指示和中央社会工作会议精神。</w:t>
      </w:r>
    </w:p>
    <w:p w14:paraId="1AA7E461">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许勤指出，党的十八大以来，以习近平同志为核心的党中央大力推进社会工作理论创新、实践创新、制度创新，推动社会工作取得重要成就。习近平总书记关于社会工作的重要论述和重要指示，内涵丰富、思想深邃、博大精深，深刻阐明了新时代社会工作的根本原则、价值取向、发展方向、重点任务、基础保障等，为新时代社会工作高质量发展提供了根本遵循和行动指南。</w:t>
      </w:r>
    </w:p>
    <w:p w14:paraId="00BAD537">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许勤强调，社会工作事关党长期执政和国家长治久安，事关社会和谐稳定和人民幸福安康。全省各级党委政府和社会工作部门要强化政治担当，站在坚定拥护“两个确立”、坚决做到“两个维护”的政治高度，深入贯彻落实习近平总书记关于社会工作的重要论述和重要指示精神，深刻把握做好新时代社会工作的总体要求，以新担当新作为开创社会工作新局面。要坚持党建引领，认真抓好新经济组织、新社会组织、新就业群体党建工作，创新党组织设置和活动方式，扩大党的组织覆盖和工作覆盖，不断增强党在新兴领域的号召力凝聚力影响力。要夯实基层基础，强化党建引领基层治理，持续抓基层强基础，配强基层服务管理力量，推动各类资源向基层下沉，统筹为基层减负和赋能，引导社会力量广泛参与，构建共建共治共享的基层治理格局。要凝聚服务群众，坚持和发展新时代“枫桥经验”，弘扬“四下基层”优良传统，深入做好群众信访工作，加强矛盾纠纷源头化解，持续开展群众身边不正之风和腐败问题集中整治，用心用情办好民生实事，扎实推进社会志愿服务工作，汇聚共创美好生活、共建幸福龙江强大力量。要维护社会稳定，强化风险意识和底线思维，加强公共安全治理和风险防范，持续排查整治煤矿、交通、消防、危化品、景区、建筑、燃气、特种设备等重点行业领域安全隐患，积极防范应对低温雨雪冰冻灾害，加强安全检查调度，完善应急方案预案，营造和谐安全稳定社会环境。</w:t>
      </w:r>
    </w:p>
    <w:p w14:paraId="3CDE30FC">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许勤要求，要坚持和加强党对社会工作的全面领导，各级党委（党组）要严格落实政治责任，党委（党组）书记要担起第一责任人责任，班子成员要履行“一岗双责”，社会工作部门要加强统筹协调，相关部门要密切配合，将各项任务纳入“四个体系”闭环推进落实。要深化能力作风建设，建强社会工作队伍，扎实做好新时代社会工作，奋力开创全省社会治理新局面。</w:t>
      </w:r>
    </w:p>
    <w:p w14:paraId="66664D18">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会上，哈尔滨市、团省委、密山市、同江市兴华街道文采社区等作交流发言。</w:t>
      </w:r>
    </w:p>
    <w:p w14:paraId="2CF71C33">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会议以视频形式召开。有关省领导，中省直有关单位、本科高校及省属部分大型国有及国有控股企业主要负责同志，社区、村委会代表，新经济组织、新社会组织、新就业群体、行业协会商会、社会工作者代表在主会场参加会议。各市（地）、县（市、区）设分会场。</w:t>
      </w:r>
    </w:p>
    <w:p w14:paraId="5F86E870">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53950B67">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5E1832A9">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1572EBA8">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2DCCFD4D">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72097244">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7F05D4D7">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3ED79CA2">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3C8F840B">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768C441F">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7095B4D6">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69629BE9">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1374A222">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7CD9DC17">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42E22E50">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3425A014">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09E8E442">
      <w:pPr>
        <w:pStyle w:val="2"/>
        <w:shd w:val="clear" w:color="auto" w:fill="FFFFFF"/>
        <w:spacing w:before="62" w:beforeLines="20" w:beforeAutospacing="0" w:after="62" w:afterLines="20" w:afterAutospacing="0" w:line="360" w:lineRule="auto"/>
        <w:rPr>
          <w:rFonts w:hint="default" w:ascii="方正小标宋_GBK" w:hAnsi="方正小标宋简体" w:eastAsia="方正小标宋简体" w:cs="方正小标宋简体"/>
          <w:bCs w:val="0"/>
          <w:color w:val="000000" w:themeColor="text1"/>
          <w:sz w:val="36"/>
          <w:szCs w:val="36"/>
          <w:shd w:val="clear" w:color="auto" w:fill="FFFFFF"/>
          <w:lang w:val="en-US" w:eastAsia="zh-CN"/>
          <w14:textFill>
            <w14:solidFill>
              <w14:schemeClr w14:val="tx1"/>
            </w14:solidFill>
          </w14:textFill>
        </w:rPr>
      </w:pPr>
      <w:r>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t>学习材料</w:t>
      </w:r>
      <w:r>
        <w:rPr>
          <w:rFonts w:hint="eastAsia" w:ascii="方正小标宋简体" w:hAnsi="方正小标宋简体" w:eastAsia="方正小标宋简体" w:cs="方正小标宋简体"/>
          <w:bCs w:val="0"/>
          <w:color w:val="000000" w:themeColor="text1"/>
          <w:sz w:val="24"/>
          <w:szCs w:val="24"/>
          <w:shd w:val="clear" w:color="auto" w:fill="FFFFFF"/>
          <w:lang w:val="en-US" w:eastAsia="zh-CN"/>
          <w14:textFill>
            <w14:solidFill>
              <w14:schemeClr w14:val="tx1"/>
            </w14:solidFill>
          </w14:textFill>
        </w:rPr>
        <w:t>10</w:t>
      </w:r>
    </w:p>
    <w:p w14:paraId="0B79F90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300" w:afterAutospacing="0" w:line="570" w:lineRule="exact"/>
        <w:ind w:left="0" w:right="0" w:firstLine="0"/>
        <w:jc w:val="center"/>
        <w:textAlignment w:val="auto"/>
        <w:rPr>
          <w:rFonts w:hint="eastAsia" w:ascii="方正公文小标宋" w:hAnsi="方正公文小标宋" w:eastAsia="方正公文小标宋" w:cs="方正公文小标宋"/>
          <w:b w:val="0"/>
          <w:bCs w:val="0"/>
          <w:i w:val="0"/>
          <w:iCs w:val="0"/>
          <w:caps w:val="0"/>
          <w:color w:val="000000" w:themeColor="text1"/>
          <w:spacing w:val="0"/>
          <w:sz w:val="36"/>
          <w:szCs w:val="36"/>
          <w14:textFill>
            <w14:solidFill>
              <w14:schemeClr w14:val="tx1"/>
            </w14:solidFill>
          </w14:textFill>
        </w:rPr>
      </w:pPr>
      <w:r>
        <w:rPr>
          <w:rFonts w:hint="eastAsia" w:ascii="方正公文小标宋" w:hAnsi="方正公文小标宋" w:eastAsia="方正公文小标宋" w:cs="方正公文小标宋"/>
          <w:b w:val="0"/>
          <w:bCs w:val="0"/>
          <w:i w:val="0"/>
          <w:iCs w:val="0"/>
          <w:caps w:val="0"/>
          <w:color w:val="000000" w:themeColor="text1"/>
          <w:spacing w:val="0"/>
          <w:sz w:val="36"/>
          <w:szCs w:val="36"/>
          <w:shd w:val="clear" w:fill="FFFFFF"/>
          <w14:textFill>
            <w14:solidFill>
              <w14:schemeClr w14:val="tx1"/>
            </w14:solidFill>
          </w14:textFill>
        </w:rPr>
        <w:t>学习市委党的建设（能力作风建设、人才）工作领导小组会议精神</w:t>
      </w:r>
    </w:p>
    <w:p w14:paraId="22A8A52C">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20日下午，市委党的建设（能力作风建设、人才）工作领导小组会议召开。市委书记丛丽出席会议并讲话，强调要深入学习贯彻习近平总书记关于做好新时代人才工作的重要思想和党的二十届三中全会精神，认真贯彻落实党中央决策部署和省委工作要求，一体推进引才、育才、用才、留才各项工作，加速集聚高层次创新人才，激发人才创新创造活力，推动全市人才工作取得新进展新突破，为佳木斯高质量发展、可持续振兴提供有力人才支撑。</w:t>
      </w:r>
    </w:p>
    <w:p w14:paraId="72C114A3">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市委副书记、市长王铁主持会议。马新辉、徐铭出席。</w:t>
      </w:r>
    </w:p>
    <w:p w14:paraId="06AE7244">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会议强调，要深刻认识做好人才工作的重要意义，抢抓国省支持人才振兴的政策机遇，持续引进培育一批高层次专家、专业技术人才，推动更多创新要素和智力资源加速集聚，努力建设一支数量充盈、结构优化、素质优良的人才队伍。要持续深化人才发展体制机制改革，用好放权松绑与约束监督相结合的管理机制，不断健全更加开放、更具活力的人才发展体制机制，做好人才日常谈心谈话、关心关爱等工作，搭建人才施展才华的广阔舞台，全力稳定留住人才。要全力打造人才集聚发展高地，围绕重点领域精准引进一批急需人才，制定完善人才培养总体规划和专项计划，积极探索促进人才成长的新模式和新方式，引进打造高水平科技创新平台，推动人才引进向重点产业倾斜。要持续完善人才服务政策措施，坚持精准分类施策，高质高效推动各项政策措施落实落地，加快形成更加科学、更具效力的人才工作体系。要积极营造良好人才发展环境，落实领导干部联系专家、学者等人才制度，加强与佳木斯籍在外人才、城市发展顾问等专家人才沟通联系，创新人才工作宣传方式，培树全社会识才、爱才、敬才、用才的良好风尚。</w:t>
      </w:r>
    </w:p>
    <w:p w14:paraId="0BCA5CD6">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会议听取了2024年全市人才工作情况汇报；审议通过了《佳木斯市重点产业主体评审管理办法》等文件。</w:t>
      </w:r>
    </w:p>
    <w:p w14:paraId="401F5792">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会议以视频形式召开。各县（市、区）、佳木斯农高区管委会设分会场。</w:t>
      </w:r>
    </w:p>
    <w:p w14:paraId="556E2FFD">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3A723F45">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468A3BD1">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6E8ADADB">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49786451">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40B03D6A">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3FE51872">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165B124F">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74E1796E">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672651B8">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3EE973AA">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25D45E80">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2A33045A">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6C9B4AEC">
      <w:pPr>
        <w:pStyle w:val="2"/>
        <w:shd w:val="clear" w:color="auto" w:fill="FFFFFF"/>
        <w:spacing w:before="62" w:beforeLines="20" w:beforeAutospacing="0" w:after="62" w:afterLines="20" w:afterAutospacing="0" w:line="360" w:lineRule="auto"/>
        <w:rPr>
          <w:rFonts w:hint="default" w:ascii="方正小标宋_GBK" w:hAnsi="方正小标宋简体" w:eastAsia="方正小标宋简体" w:cs="方正小标宋简体"/>
          <w:bCs w:val="0"/>
          <w:color w:val="000000" w:themeColor="text1"/>
          <w:sz w:val="36"/>
          <w:szCs w:val="36"/>
          <w:shd w:val="clear" w:color="auto" w:fill="FFFFFF"/>
          <w:lang w:val="en-US" w:eastAsia="zh-CN"/>
          <w14:textFill>
            <w14:solidFill>
              <w14:schemeClr w14:val="tx1"/>
            </w14:solidFill>
          </w14:textFill>
        </w:rPr>
      </w:pPr>
      <w:r>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t>学习材料</w:t>
      </w:r>
      <w:r>
        <w:rPr>
          <w:rFonts w:hint="eastAsia" w:ascii="方正小标宋简体" w:hAnsi="方正小标宋简体" w:eastAsia="方正小标宋简体" w:cs="方正小标宋简体"/>
          <w:bCs w:val="0"/>
          <w:color w:val="000000" w:themeColor="text1"/>
          <w:sz w:val="24"/>
          <w:szCs w:val="24"/>
          <w:shd w:val="clear" w:color="auto" w:fill="FFFFFF"/>
          <w:lang w:val="en-US" w:eastAsia="zh-CN"/>
          <w14:textFill>
            <w14:solidFill>
              <w14:schemeClr w14:val="tx1"/>
            </w14:solidFill>
          </w14:textFill>
        </w:rPr>
        <w:t>11</w:t>
      </w:r>
    </w:p>
    <w:p w14:paraId="15AD81B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25" w:beforeAutospacing="0" w:after="300" w:afterAutospacing="0" w:line="570" w:lineRule="exact"/>
        <w:ind w:left="0" w:right="0" w:firstLine="0"/>
        <w:jc w:val="center"/>
        <w:textAlignment w:val="auto"/>
        <w:rPr>
          <w:rFonts w:hint="eastAsia" w:ascii="方正公文小标宋" w:hAnsi="方正公文小标宋" w:eastAsia="方正公文小标宋" w:cs="方正公文小标宋"/>
          <w:b w:val="0"/>
          <w:bCs w:val="0"/>
          <w:i w:val="0"/>
          <w:iCs w:val="0"/>
          <w:caps w:val="0"/>
          <w:color w:val="000000" w:themeColor="text1"/>
          <w:spacing w:val="0"/>
          <w:sz w:val="36"/>
          <w:szCs w:val="36"/>
          <w14:textFill>
            <w14:solidFill>
              <w14:schemeClr w14:val="tx1"/>
            </w14:solidFill>
          </w14:textFill>
        </w:rPr>
      </w:pPr>
      <w:r>
        <w:rPr>
          <w:rFonts w:hint="eastAsia" w:ascii="方正公文小标宋" w:hAnsi="方正公文小标宋" w:eastAsia="方正公文小标宋" w:cs="方正公文小标宋"/>
          <w:b w:val="0"/>
          <w:bCs w:val="0"/>
          <w:i w:val="0"/>
          <w:iCs w:val="0"/>
          <w:caps w:val="0"/>
          <w:color w:val="000000" w:themeColor="text1"/>
          <w:spacing w:val="0"/>
          <w:sz w:val="36"/>
          <w:szCs w:val="36"/>
          <w:shd w:val="clear" w:fill="FFFFFF"/>
          <w14:textFill>
            <w14:solidFill>
              <w14:schemeClr w14:val="tx1"/>
            </w14:solidFill>
          </w14:textFill>
        </w:rPr>
        <w:t>学习全市防范应对极端天气视频调度会议精神</w:t>
      </w:r>
    </w:p>
    <w:p w14:paraId="77CCA59A">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left"/>
        <w:textAlignment w:val="auto"/>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26日下午，市委书记丛丽主持召开全市防范应对极端天气视频调度会议，迅速贯彻落实全省防范应对极端天气调度会议精神，安排部署全市防范应对工作。丛丽强调，要深入贯彻落实习近平总书记关于防灾减灾救灾工作的重要论述，全面落实党中央、国务院和省委、省政府决策部署，扎实做好暴雪大风降温天气防范工作，全力以赴保安全、保畅通、保供应、保民生，保障人民群众生命财产安全和社会大局稳定。</w:t>
      </w:r>
    </w:p>
    <w:p w14:paraId="1735551C">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left"/>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宫秀丽、张英会、马新辉、方东昕、王金、聂影等出席会议。</w:t>
      </w:r>
    </w:p>
    <w:p w14:paraId="702B31B3">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left"/>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会议通报了本轮强降雪、大风、降温天气情况；听取了全市防范应对本轮极端天气工作情况汇报。部分县（市、区）及有关部门作工作汇报。</w:t>
      </w:r>
    </w:p>
    <w:p w14:paraId="0B41EA5D">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left"/>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丛丽强调，要提高思想认识，坚决克服麻痹思想和侥幸心理，切实增强做好防范应对极端天气的责任感和紧迫感，强化责任落实，树牢底线思维，周密安排部署，从快从严从细做好各项防范工作，做到监测预警到位、抢险救援到位、民生保障到位，积极有效应对暴雪大风降温天气。</w:t>
      </w:r>
    </w:p>
    <w:p w14:paraId="27E0174B">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left"/>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丛丽强调，要强化重点防范，加强交通秩序维护，组织力量做好冰阻雪阻路段抢通，密切关注大跨度建筑物、CD级危房情况，加强农村粮仓、大棚、畜禽圈舍检查指导，加密供电、供热、供水、供气等各类管网线路设施检查频次，保障重要物资和生活必需品市场供应，加大特殊困难群体救助帮扶力度，及时准确发布预报预警信息和灾害风险提示，最大限度减少次生灾害事故的发生。要做好值班值守，落实24小时值班和重要时段领导带班制度，信息及时共享、应急同步联动，确保第一时间响应、第一时间处置，最大限度减少受灾影响和损失。要强化应急处置，进一步细化完善应急预案，备齐配足应急物资装备，提前做好万全准备，特别是各类应急救援队伍要进入应战状态，确保发生紧急情况能够科学有效应对处置。</w:t>
      </w:r>
    </w:p>
    <w:p w14:paraId="66369074">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left"/>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会前，丛丽先后到佳木斯气象局、国网佳木斯供电公司、市交警支队指挥中心，检查本轮暴雪大风降温天气分析预报、供电服务保障、路面交通管理及各项防范应对措施落实等情况，察看沿路冰雪清运工作情况，并对相关工作提出具体要求。</w:t>
      </w:r>
    </w:p>
    <w:p w14:paraId="64CE833F">
      <w:pPr>
        <w:pStyle w:val="9"/>
        <w:keepNext w:val="0"/>
        <w:keepLines w:val="0"/>
        <w:pageBreakBefore w:val="0"/>
        <w:widowControl/>
        <w:suppressLineNumbers w:val="0"/>
        <w:shd w:val="clear" w:fill="FFFFFF"/>
        <w:kinsoku/>
        <w:wordWrap/>
        <w:overflowPunct/>
        <w:topLinePunct w:val="0"/>
        <w:autoSpaceDE/>
        <w:autoSpaceDN/>
        <w:bidi w:val="0"/>
        <w:adjustRightInd/>
        <w:snapToGrid/>
        <w:spacing w:before="225" w:beforeAutospacing="0" w:after="225" w:afterAutospacing="0" w:line="570" w:lineRule="exact"/>
        <w:ind w:right="0" w:firstLine="640" w:firstLineChars="200"/>
        <w:jc w:val="left"/>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shd w:val="clear" w:fill="FFFFFF"/>
          <w14:textFill>
            <w14:solidFill>
              <w14:schemeClr w14:val="tx1"/>
            </w14:solidFill>
          </w14:textFill>
        </w:rPr>
        <w:t>会议以视频形式召开。各县（市、区）、佳木斯农高区管委会设分会场。</w:t>
      </w:r>
    </w:p>
    <w:p w14:paraId="0A64A3F0">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52D17A21">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6CEEDA92">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03DAB08C">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46B17431">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34F8ED40">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45B7DA04">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676A4D1B">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4459E7BA">
      <w:pPr>
        <w:pStyle w:val="9"/>
        <w:widowControl w:val="0"/>
        <w:shd w:val="clear" w:color="auto" w:fill="FFFFFF"/>
        <w:snapToGrid w:val="0"/>
        <w:spacing w:before="0" w:beforeAutospacing="0" w:after="0" w:afterAutospacing="0" w:line="360" w:lineRule="auto"/>
        <w:ind w:left="0" w:leftChars="0" w:firstLine="640" w:firstLineChars="200"/>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p w14:paraId="30B6915B">
      <w:pPr>
        <w:pStyle w:val="2"/>
        <w:shd w:val="clear" w:color="auto" w:fill="FFFFFF"/>
        <w:spacing w:before="62" w:beforeLines="20" w:beforeAutospacing="0" w:after="62" w:afterLines="20" w:afterAutospacing="0" w:line="360" w:lineRule="auto"/>
        <w:rPr>
          <w:rFonts w:hint="eastAsia" w:ascii="方正小标宋简体" w:hAnsi="方正小标宋简体" w:eastAsia="方正小标宋简体" w:cs="方正小标宋简体"/>
          <w:bCs w:val="0"/>
          <w:color w:val="000000" w:themeColor="text1"/>
          <w:sz w:val="24"/>
          <w:szCs w:val="24"/>
          <w:shd w:val="clear" w:color="auto" w:fill="FFFFFF"/>
          <w:lang w:val="en-US" w:eastAsia="zh-CN"/>
          <w14:textFill>
            <w14:solidFill>
              <w14:schemeClr w14:val="tx1"/>
            </w14:solidFill>
          </w14:textFill>
        </w:rPr>
      </w:pPr>
      <w:r>
        <w:rPr>
          <w:rFonts w:hint="eastAsia" w:ascii="方正小标宋简体" w:hAnsi="方正小标宋简体" w:eastAsia="方正小标宋简体" w:cs="方正小标宋简体"/>
          <w:bCs w:val="0"/>
          <w:color w:val="000000" w:themeColor="text1"/>
          <w:sz w:val="24"/>
          <w:szCs w:val="24"/>
          <w:shd w:val="clear" w:color="auto" w:fill="FFFFFF"/>
          <w14:textFill>
            <w14:solidFill>
              <w14:schemeClr w14:val="tx1"/>
            </w14:solidFill>
          </w14:textFill>
        </w:rPr>
        <w:t>学习材料</w:t>
      </w:r>
      <w:r>
        <w:rPr>
          <w:rFonts w:hint="eastAsia" w:ascii="方正小标宋简体" w:hAnsi="方正小标宋简体" w:eastAsia="方正小标宋简体" w:cs="方正小标宋简体"/>
          <w:bCs w:val="0"/>
          <w:color w:val="000000" w:themeColor="text1"/>
          <w:sz w:val="24"/>
          <w:szCs w:val="24"/>
          <w:shd w:val="clear" w:color="auto" w:fill="FFFFFF"/>
          <w:lang w:val="en-US" w:eastAsia="zh-CN"/>
          <w14:textFill>
            <w14:solidFill>
              <w14:schemeClr w14:val="tx1"/>
            </w14:solidFill>
          </w14:textFill>
        </w:rPr>
        <w:t>12</w:t>
      </w:r>
    </w:p>
    <w:p w14:paraId="2B56FAC5">
      <w:pPr>
        <w:jc w:val="center"/>
        <w:rPr>
          <w:rFonts w:hint="eastAsia" w:ascii="方正公文小标宋" w:hAnsi="方正公文小标宋" w:eastAsia="方正公文小标宋" w:cs="方正公文小标宋"/>
          <w:b w:val="0"/>
          <w:bCs w:val="0"/>
          <w:color w:val="000000" w:themeColor="text1"/>
          <w:sz w:val="36"/>
          <w:szCs w:val="36"/>
          <w:lang w:val="en-US" w:eastAsia="zh-CN"/>
          <w14:textFill>
            <w14:solidFill>
              <w14:schemeClr w14:val="tx1"/>
            </w14:solidFill>
          </w14:textFill>
        </w:rPr>
      </w:pPr>
      <w:r>
        <w:rPr>
          <w:rFonts w:hint="eastAsia" w:ascii="方正公文小标宋" w:hAnsi="方正公文小标宋" w:eastAsia="方正公文小标宋" w:cs="方正公文小标宋"/>
          <w:b w:val="0"/>
          <w:bCs w:val="0"/>
          <w:i w:val="0"/>
          <w:iCs w:val="0"/>
          <w:caps w:val="0"/>
          <w:color w:val="000000" w:themeColor="text1"/>
          <w:spacing w:val="0"/>
          <w:sz w:val="36"/>
          <w:szCs w:val="36"/>
          <w14:textFill>
            <w14:solidFill>
              <w14:schemeClr w14:val="tx1"/>
            </w14:solidFill>
          </w14:textFill>
        </w:rPr>
        <w:t>关于在全党大兴调查研究的工作方案</w:t>
      </w:r>
    </w:p>
    <w:p w14:paraId="54DA4C4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为深入学习贯彻习近平新时代中国特色社会主义思想，全面贯彻落实党的二十大精神，党中央决定，在全党大兴调查研究，作为在全党开展的主题教育的重要内容，推动全面建设社会主义现代化国家开好局起好步。现制定如下工作方案。</w:t>
      </w:r>
    </w:p>
    <w:p w14:paraId="0818D33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left="0" w:righ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Style w:val="13"/>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一、重要意义</w:t>
      </w:r>
    </w:p>
    <w:p w14:paraId="7A61D11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调查研究是我们党的传家宝。党的十八大以来，以习近平同志为核心的党中央高度重视调查研究工作，习近平总书记强调指出，调查研究是谋事之基、成事之道，没有调查就没有发言权，没有调查就没有决策权；正确的决策离不开调查研究，正确的贯彻落实同样也离不开调查研究；调查研究是获得真知灼见的源头活水，是做好工作的基本功；要在全党大兴调查研究之风。习近平总书记这些重要指示，深刻阐明了调查研究的极端重要性，为全党大兴调查研究、做好各项工作提供了根本遵循。</w:t>
      </w:r>
    </w:p>
    <w:p w14:paraId="64AE0D9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当前，我国发展面临新的战略机遇、新的战略任务、新的战略阶段、新的战略要求、新的战略环境。世界百年未有之大变局加速演进，不确定、难预料因素增多，国内改革发展稳定面临不少深层次矛盾躲不开、绕不过，各种风险挑战、困难问题比以往更加严峻复杂，迫切需要通过调查研究把握事物的本质和规律，找到破解难题的办法和路径。在全党大兴调查研究，是深入学习贯彻习近平新时代中国特色社会主义思想、感悟这一重要思想的真理力量和实践伟力的必然要求，是深刻领悟“两个确立”的决定性意义、坚决做到“两个维护”的具体实践，是应对新时代新征程前进路上的风浪考验、推进中国式现代化的有力举措，是时刻保持解决大党独有难题的清醒和坚定、回答“六个如何始终”的现实需要，是转变工作作风、密切联系群众、提高履职本领、强化责任担当的有效途径。</w:t>
      </w:r>
    </w:p>
    <w:p w14:paraId="10FFE9A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left="0" w:righ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Style w:val="13"/>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二、总体要求</w:t>
      </w:r>
    </w:p>
    <w:p w14:paraId="040F890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在全党大兴调查研究，要坚持以习近平新时代中国特色社会主义思想为指导，全面贯彻落实党的二十大精神，紧紧围绕党的理论和路线方针政策、党中央重大决策部署的贯彻执行，大力弘扬党的光荣传统和优良作风，突出问题导向和目标导向，促进广大党员、干部特别是领导干部带头深入调查研究，不断深化对党的创新理论的认识和把握，善于运用党的创新理论研究新情况、解决新问题、总结新经验、探索新规律，扑下身子干实事、谋实招、求实效，使调查研究工作同中心工作和决策需要紧密结合起来，更好为科学决策服务，为提高党的执政能力和领导水平服务，为完成新时代新征程的使命任务服务。</w:t>
      </w:r>
    </w:p>
    <w:p w14:paraId="098DC17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在全党大兴调查研究，必须坚持党的群众路线，从群众中来、到群众中去，增进同人民群众的感情，真诚倾听群众呼声、真实反映群众愿望、真情关心群众疾苦，自觉向群众学习、向实践学习，从人民的创造性实践中获得正确认识，把党的正确主张变为群众的自觉行动。必须坚持实事求是，坚守党性原则，一切从实际出发，理论联系实际，听真话、察实情，坚持真理、修正错误，有一是一、有二是二，既报喜又报忧，不唯书、不唯上、只唯实。必须坚持问题导向，增强问题意识，敢于正视问题、善于发现问题，以解决问题为根本目的，真正把情况摸清、把问题找准、把对策提实，不断提出真正解决问题的新思路新办法。必须坚持攻坚克难，发扬斗争精神，增强斗争本领，勇于涉险滩、破难题，知难而进、迎难而上，把调查研究成果转化为推进工作、战胜困难的实际成效。必须坚持系统观念，深入实际、深入基层、深入群众调查了解情况，把握好全局和局部、当前和长远、宏观和微观、主要矛盾和次要矛盾、特殊和一般的关系，前瞻性思考、全局性谋划、整体性推进党和国家各项事业。</w:t>
      </w:r>
    </w:p>
    <w:p w14:paraId="5935F28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left="0" w:righ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Style w:val="13"/>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三、调研内容</w:t>
      </w:r>
    </w:p>
    <w:p w14:paraId="4E712EE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在全党大兴调查研究，要紧紧围绕全面贯彻落实党的二十大精神、推动高质量发展，直奔问题去，实行问题大梳理、难题大排查，着力打通贯彻执行中的堵点淤点难点。各级党委（党组）要立足职能职责，围绕做好事关全局的战略性调研、破解复杂难题的对策性调研、新时代新情况的前瞻性调研、重大工作项目的跟踪性调研、典型案例的解剖式调研、推动落实的督查式调研，突出重点、直击要害，结合实际确定调研内容。主要是12个方面。</w:t>
      </w:r>
    </w:p>
    <w:p w14:paraId="103F9A9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1.贯彻落实党中央决策部署和习近平总书记对本地区本部门本领域工作重要指示批示精神的主要情况和重点问题。</w:t>
      </w:r>
    </w:p>
    <w:p w14:paraId="0400439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2.贯彻新发展理念、构建新发展格局、推动高质量发展中的重大问题，推进高水平科技自立自强，扩大国内需求、深化供给侧结构性改革、建设现代化产业体系、落实“两个毫不动摇”、吸引和利用外资，全面推进乡村振兴中的主要情况和重点问题。</w:t>
      </w:r>
    </w:p>
    <w:p w14:paraId="43536F1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3.统筹发展和安全，确保粮食、能源、产业链供应链、生产、食品药品、公共卫生等安全，防范化解重大经济金融风险中的主要情况和重点问题。</w:t>
      </w:r>
    </w:p>
    <w:p w14:paraId="2D3A99D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4.全面深化改革开放中的重大问题，重要领域和关键环节改革、推进高水平对外开放中的主要情况和重点问题。</w:t>
      </w:r>
    </w:p>
    <w:p w14:paraId="0C03DF6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5.全面依法治国中的重大问题，完善中国特色社会主义法律体系、推进依法行政、严格公正司法、建设法治社会等主要情况和重点问题。</w:t>
      </w:r>
    </w:p>
    <w:p w14:paraId="2862DAA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6.意识形态领域面临的挑战，推进文化自信自强、建设社会主义文化强国和新闻舆论引导、网络综合治理中的主要情况和重点问题。</w:t>
      </w:r>
    </w:p>
    <w:p w14:paraId="69336DE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7.推进共同富裕、增进民生福祉中的重大问题，巩固拓展脱贫攻坚成果、缩小城乡区域发展差距和收入分配差距的主要情况和重点问题。</w:t>
      </w:r>
    </w:p>
    <w:p w14:paraId="67D31A7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8.人民最关心最直接最现实的利益问题，特别是就业、教育、医疗、托育、养老、住房等群众急难愁盼的具体问题。</w:t>
      </w:r>
    </w:p>
    <w:p w14:paraId="02CFA4B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9.牢固树立和践行绿水青山就是金山银山理念方面的差距和不足，推进美丽中国建设、保护生态环境和维护生态安全中的主要情况和重点问题。</w:t>
      </w:r>
    </w:p>
    <w:p w14:paraId="1C14CBF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10.维护社会稳定中的重大问题，防灾减灾救灾和重大突发公共事件处置保障短板，处理新形势下人民内部矛盾和强化社会治安整体防控的主要情况和重点问题。</w:t>
      </w:r>
    </w:p>
    <w:p w14:paraId="1476ED8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11.全面从严治党中的重大问题，落实党的领导弱化虚化淡化、党组织政治功能和组织功能不够强，干事创业精气神不足、不担当不作为，应对“黑天鹅”、“灰犀牛”事件和防范化解风险能力不强，形式主义、官僚主义，特权思想和特权行为等重点问题。</w:t>
      </w:r>
    </w:p>
    <w:p w14:paraId="6089014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12.本地区本部门本单位长期未解决的老大难问题。</w:t>
      </w:r>
    </w:p>
    <w:p w14:paraId="4E65E47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left="0" w:righ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Style w:val="13"/>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四、方法步骤</w:t>
      </w:r>
    </w:p>
    <w:p w14:paraId="26595E0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在全党大兴调查研究，分为6个步骤。</w:t>
      </w:r>
    </w:p>
    <w:p w14:paraId="49811CE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一）提高认识。各级党委（党组）要通过理论学习中心组学习、读书班等，组织党员、干部深入学习领会习近平总书记关于调查研究的重要论述，学习习近平总书记关于本地区本部门本领域的重要讲话和重要指示批示精神，继承和发扬老一辈革命家深入基层调查研究的优良作风，增强做好调查研究的思想自觉、政治自觉、行动自觉。</w:t>
      </w:r>
    </w:p>
    <w:p w14:paraId="6EE3E20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二）制定方案。各级党委（党组）要围绕调研内容，结合本地区本部门本单位实际，广泛听取各方面意见，研究制定调查研究的具体方案，明确调研的项目课题、方式方法和工作要求等，统筹安排、合理确定调研的时间、地点、人员。党委（党组）主要负责同志要亲自主持制定方案。</w:t>
      </w:r>
    </w:p>
    <w:p w14:paraId="6B28A36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三）开展调研。县处级以上领导班子成员每人牵头1个课题开展调研，同时，针对相关领域或工作中最突出的难点问题进行专项调研。要坚持因地制宜，综合运用座谈访谈、随机走访、问卷调查、专家调查、抽样调查、统计分析等方式，充分运用互联网、大数据等现代信息技术开展调查研究，提高科学性和实效性。要深入农村、社区、企业、医院、学校、新经济组织、新社会组织等基层单位，掌握实情、把脉问诊，问计于群众、问计于实践。要转换角色、走进群众，了解群众的烦心事操心事揪心事，发现和查找工作中的差距不足。要结合典型案例，分析问题、剖析原因，举一反三采取改进措施。要加强督查调研，检查工作是否真正落实、问题是否真正解决。</w:t>
      </w:r>
    </w:p>
    <w:p w14:paraId="6224CAA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四）深化研究。全面梳理汇总调研情况，运用习近平新时代中国特色社会主义思想的世界观、方法论和贯穿其中的立场观点方法，进行深入分析、充分论证和科学决策。特别是对那些具有普遍性和制度性的问题、涉及改革发展稳定的深层次关键性问题，以及难题积案和顽瘴痼疾等，要研究透彻、找准根源和症结。在此基础上，领导班子交流调研情况，研究对策措施，形成解决问题、促进工作的思路办法和政策举措，确保每个问题都有务实管用的破解之策。</w:t>
      </w:r>
    </w:p>
    <w:p w14:paraId="6A60C9D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五）解决问题。对调研中反映和发现的问题，逐一梳理形成问题清单、责任清单、任务清单，逐一列出解决措施、责任单位、责任人和完成时限。对短期能够解决的，立行立改、马上就办。对一时难以解决、需要持续推进的，明确目标，紧盯不放，一抓到底，做到问题不解决不松劲、解决不彻底不放手。</w:t>
      </w:r>
    </w:p>
    <w:p w14:paraId="74327F0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六）督查回访。各级党委（党组）要建立调研成果转化运用清单，加强对调研课题完成情况、问题解决情况的督查督办和跟踪问效；领导干部要定期对调研对象和解决问题等事项进行回访，注意发现和解决新的问题。</w:t>
      </w:r>
    </w:p>
    <w:p w14:paraId="6540C3B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left="0" w:right="0" w:firstLine="42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Style w:val="13"/>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五、工作要求</w:t>
      </w:r>
    </w:p>
    <w:p w14:paraId="1AEA253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一）加强组织领导。各级党委（党组）要高度重视调查研究工作，作出专门部署，科学精准做好方案设计、过程实施、监督问效等各个环节工作。党委（党组）主要负责同志负总责，抓好本地区本部门本单位调查研究的推进落实；班子其他成员各负其责，抓好分管领域和分管单位的调查研究工作。领导干部要带头开展调查研究，改进调研方法，以上率下、作出示范。</w:t>
      </w:r>
    </w:p>
    <w:p w14:paraId="011ABB4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二）严明工作纪律。调查研究要严格执行中央八项规定及其实施细则精神，轻车简从，厉行节约，不搞层层陪同。要采取“四不两直”方式，多到困难多、群众意见集中、工作打不开局面的地方和单位开展调研，防止嫌贫爱富式调研。要加强调研统筹，避免扎堆调研、多头调研、重复调研，不增加基层负担。要力戒形式主义、官僚主义，不搞作秀式、盆景式和蜻蜓点水式调研，防止走过场、不深入。要在调查的基础上深化研究，防止调查多研究少、情况多分析少，提出的对策建议不解决实际问题。对违反作风建设要求和廉洁自律规定的，要依规依纪严肃问责。</w:t>
      </w:r>
    </w:p>
    <w:p w14:paraId="148C8F8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三）坚持统筹推进。对表现在基层、根子在上面的问题，对涉及多个地区或部门单位的问题，上下协同、整体推动解决。统筹当前和长远，发现总结调查研究的有效做法和成功经验，完善调查研究的长效机制，使调查研究成为党员、干部的经常性工作，在全党蔚然成风、产生实效。</w:t>
      </w:r>
    </w:p>
    <w:p w14:paraId="477ECEF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45" w:beforeAutospacing="0" w:after="0" w:afterAutospacing="0" w:line="570" w:lineRule="exact"/>
        <w:ind w:right="0" w:firstLine="640" w:firstLineChars="200"/>
        <w:jc w:val="both"/>
        <w:textAlignment w:val="auto"/>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pPr>
      <w:r>
        <w:rPr>
          <w:rFonts w:hint="eastAsia" w:ascii="方正仿宋_GB2312" w:hAnsi="方正仿宋_GB2312" w:eastAsia="方正仿宋_GB2312" w:cs="方正仿宋_GB2312"/>
          <w:i w:val="0"/>
          <w:iCs w:val="0"/>
          <w:caps w:val="0"/>
          <w:color w:val="000000" w:themeColor="text1"/>
          <w:spacing w:val="0"/>
          <w:sz w:val="32"/>
          <w:szCs w:val="32"/>
          <w14:textFill>
            <w14:solidFill>
              <w14:schemeClr w14:val="tx1"/>
            </w14:solidFill>
          </w14:textFill>
        </w:rPr>
        <w:t>（四）加大宣传力度。充分利用党报、党刊、电视台、广播电台、网络传播平台等，采取多种多样的宣传形式和手段，大力宣传大兴调查研究的重要意义和各地区各部门各单位大兴调查研究的具体举措、实际成效，凝聚起大兴调查研究的共识和力量，营造浓厚氛围。</w:t>
      </w:r>
    </w:p>
    <w:p w14:paraId="61CD98AF">
      <w:pPr>
        <w:pStyle w:val="9"/>
        <w:widowControl w:val="0"/>
        <w:shd w:val="clear" w:color="auto" w:fill="FFFFFF"/>
        <w:snapToGrid w:val="0"/>
        <w:spacing w:before="0" w:beforeAutospacing="0" w:after="0" w:afterAutospacing="0" w:line="360" w:lineRule="auto"/>
        <w:jc w:val="both"/>
        <w:rPr>
          <w:rFonts w:hint="eastAsia" w:ascii="仿宋_GB2312" w:hAnsi="仿宋_GB2312" w:eastAsia="仿宋_GB2312" w:cs="仿宋_GB2312"/>
          <w:b w:val="0"/>
          <w:bCs w:val="0"/>
          <w:color w:val="000000" w:themeColor="text1"/>
          <w:sz w:val="32"/>
          <w:szCs w:val="32"/>
          <w:shd w:val="clear" w:color="auto" w:fill="FFFFFF"/>
          <w14:textFill>
            <w14:solidFill>
              <w14:schemeClr w14:val="tx1"/>
            </w14:solidFill>
          </w14:textFill>
        </w:rPr>
      </w:pPr>
    </w:p>
    <w:sectPr>
      <w:footerReference r:id="rId4" w:type="default"/>
      <w:pgSz w:w="11906" w:h="16838"/>
      <w:pgMar w:top="993" w:right="1700" w:bottom="1135" w:left="1418"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03CF9F13-D8CE-478F-B254-5DCE7C26E487}"/>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2" w:fontKey="{AEFB8212-8F50-429A-B49B-7E651A902DDE}"/>
  </w:font>
  <w:font w:name="方正小标宋_GBK">
    <w:panose1 w:val="03000509000000000000"/>
    <w:charset w:val="86"/>
    <w:family w:val="script"/>
    <w:pitch w:val="default"/>
    <w:sig w:usb0="00000001" w:usb1="080E0000" w:usb2="00000000" w:usb3="00000000" w:csb0="00040000" w:csb1="00000000"/>
    <w:embedRegular r:id="rId3" w:fontKey="{A5906F86-9220-4428-AB16-AFCC45FC4810}"/>
  </w:font>
  <w:font w:name="仿宋_GB2312">
    <w:panose1 w:val="02010609030101010101"/>
    <w:charset w:val="86"/>
    <w:family w:val="modern"/>
    <w:pitch w:val="default"/>
    <w:sig w:usb0="00000001" w:usb1="080E0000" w:usb2="00000000" w:usb3="00000000" w:csb0="00040000" w:csb1="00000000"/>
    <w:embedRegular r:id="rId4" w:fontKey="{309B20F7-256D-4F9D-88DD-9C08F3CB9AAD}"/>
  </w:font>
  <w:font w:name="方正公文小标宋">
    <w:panose1 w:val="02000500000000000000"/>
    <w:charset w:val="86"/>
    <w:family w:val="auto"/>
    <w:pitch w:val="default"/>
    <w:sig w:usb0="A00002BF" w:usb1="38CF7CFA" w:usb2="00000016" w:usb3="00000000" w:csb0="00040001" w:csb1="00000000"/>
    <w:embedRegular r:id="rId5" w:fontKey="{DE7DAB58-A668-446A-9F0A-71F0F2190E59}"/>
  </w:font>
  <w:font w:name="方正仿宋_GB2312">
    <w:panose1 w:val="02000000000000000000"/>
    <w:charset w:val="86"/>
    <w:family w:val="auto"/>
    <w:pitch w:val="default"/>
    <w:sig w:usb0="A00002BF" w:usb1="184F6CFA" w:usb2="00000012" w:usb3="00000000" w:csb0="00040001" w:csb1="00000000"/>
    <w:embedRegular r:id="rId6" w:fontKey="{11742DBC-83CE-419D-ADE4-54566DC43751}"/>
  </w:font>
  <w:font w:name="方正小标宋简体">
    <w:panose1 w:val="03000509000000000000"/>
    <w:charset w:val="86"/>
    <w:family w:val="script"/>
    <w:pitch w:val="default"/>
    <w:sig w:usb0="00000001" w:usb1="080E0000" w:usb2="00000000" w:usb3="00000000" w:csb0="00040000" w:csb1="00000000"/>
    <w:embedRegular r:id="rId7" w:fontKey="{105D0886-84D8-404A-B603-A95C0E90358B}"/>
  </w:font>
  <w:font w:name="微软雅黑">
    <w:panose1 w:val="020B0503020204020204"/>
    <w:charset w:val="86"/>
    <w:family w:val="swiss"/>
    <w:pitch w:val="default"/>
    <w:sig w:usb0="80000287" w:usb1="2ACF3C50" w:usb2="00000016" w:usb3="00000000" w:csb0="0004001F" w:csb1="00000000"/>
    <w:embedRegular r:id="rId8" w:fontKey="{ACA90D5F-B428-4D7C-8421-67EE30C87C11}"/>
  </w:font>
  <w:font w:name="方正楷体_GB2312">
    <w:altName w:val="楷体_GB2312"/>
    <w:panose1 w:val="02000000000000000000"/>
    <w:charset w:val="86"/>
    <w:family w:val="auto"/>
    <w:pitch w:val="default"/>
    <w:sig w:usb0="00000000" w:usb1="00000000" w:usb2="00000012" w:usb3="00000000" w:csb0="00040001" w:csb1="00000000"/>
    <w:embedRegular r:id="rId9" w:fontKey="{CC547320-F618-4A99-AEC4-59AC45F55C5E}"/>
  </w:font>
  <w:font w:name="楷体_GB2312">
    <w:panose1 w:val="02010609030101010101"/>
    <w:charset w:val="86"/>
    <w:family w:val="auto"/>
    <w:pitch w:val="default"/>
    <w:sig w:usb0="00000001" w:usb1="080E0000" w:usb2="00000000" w:usb3="00000000" w:csb0="00040000" w:csb1="00000000"/>
  </w:font>
  <w:font w:name="方正仿宋_GB18030">
    <w:panose1 w:val="02000000000000000000"/>
    <w:charset w:val="86"/>
    <w:family w:val="auto"/>
    <w:pitch w:val="default"/>
    <w:sig w:usb0="00000001" w:usb1="08000000" w:usb2="00000000" w:usb3="00000000" w:csb0="00040000" w:csb1="00000000"/>
    <w:embedRegular r:id="rId10" w:fontKey="{C1E919C1-C8E2-47BB-91F0-1F944DDE33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64920">
    <w:pPr>
      <w:pStyle w:val="7"/>
      <w:jc w:val="center"/>
      <w:rPr>
        <w:rFonts w:hint="default" w:eastAsiaTheme="minorEastAsia"/>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D218F1">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3D218F1">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4CDDE">
    <w:pPr>
      <w:pStyle w:val="7"/>
      <w:jc w:val="center"/>
      <w:rPr>
        <w:rFonts w:hint="default" w:eastAsiaTheme="minorEastAsia"/>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F625D">
                          <w:pPr>
                            <w:pStyle w:val="7"/>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68F625D">
                    <w:pPr>
                      <w:pStyle w:val="7"/>
                    </w:pPr>
                    <w:r>
                      <w:fldChar w:fldCharType="begin"/>
                    </w:r>
                    <w:r>
                      <w:instrText xml:space="preserve"> PAGE  \* MERGEFORMAT </w:instrText>
                    </w:r>
                    <w:r>
                      <w:fldChar w:fldCharType="separate"/>
                    </w:r>
                    <w:r>
                      <w:t>16</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ZmMjJmMzliMGRhMDNkMDRjMWQ2OWM1NTE0ZGNmNmYifQ=="/>
  </w:docVars>
  <w:rsids>
    <w:rsidRoot w:val="00BA449E"/>
    <w:rsid w:val="000024F1"/>
    <w:rsid w:val="00027834"/>
    <w:rsid w:val="000412AF"/>
    <w:rsid w:val="0005324C"/>
    <w:rsid w:val="00065F41"/>
    <w:rsid w:val="00090A6D"/>
    <w:rsid w:val="00094637"/>
    <w:rsid w:val="000B58D5"/>
    <w:rsid w:val="000D12DA"/>
    <w:rsid w:val="000D1BF9"/>
    <w:rsid w:val="000F3CCC"/>
    <w:rsid w:val="001042B6"/>
    <w:rsid w:val="00147D10"/>
    <w:rsid w:val="001505F7"/>
    <w:rsid w:val="00163D19"/>
    <w:rsid w:val="00190203"/>
    <w:rsid w:val="00193FD9"/>
    <w:rsid w:val="001A1778"/>
    <w:rsid w:val="00206FBC"/>
    <w:rsid w:val="00232BEC"/>
    <w:rsid w:val="00291090"/>
    <w:rsid w:val="00293C24"/>
    <w:rsid w:val="002C5471"/>
    <w:rsid w:val="002E1281"/>
    <w:rsid w:val="002E7E76"/>
    <w:rsid w:val="00303C3E"/>
    <w:rsid w:val="00331945"/>
    <w:rsid w:val="00362870"/>
    <w:rsid w:val="00364FC3"/>
    <w:rsid w:val="003B3AA6"/>
    <w:rsid w:val="003E5EDD"/>
    <w:rsid w:val="00405116"/>
    <w:rsid w:val="00427750"/>
    <w:rsid w:val="004631F8"/>
    <w:rsid w:val="004656B5"/>
    <w:rsid w:val="00474F56"/>
    <w:rsid w:val="00480B37"/>
    <w:rsid w:val="004D402E"/>
    <w:rsid w:val="004F31AD"/>
    <w:rsid w:val="005149A0"/>
    <w:rsid w:val="0056640D"/>
    <w:rsid w:val="005B4847"/>
    <w:rsid w:val="005C44A6"/>
    <w:rsid w:val="005E04B4"/>
    <w:rsid w:val="005F3014"/>
    <w:rsid w:val="00615D9B"/>
    <w:rsid w:val="00650107"/>
    <w:rsid w:val="00651499"/>
    <w:rsid w:val="00653F68"/>
    <w:rsid w:val="006819B4"/>
    <w:rsid w:val="006916BA"/>
    <w:rsid w:val="006A4B07"/>
    <w:rsid w:val="006D4412"/>
    <w:rsid w:val="00720082"/>
    <w:rsid w:val="0073333F"/>
    <w:rsid w:val="007676FF"/>
    <w:rsid w:val="00775B6A"/>
    <w:rsid w:val="00780498"/>
    <w:rsid w:val="007827F2"/>
    <w:rsid w:val="00786322"/>
    <w:rsid w:val="007C02F0"/>
    <w:rsid w:val="007C22F5"/>
    <w:rsid w:val="007C76AD"/>
    <w:rsid w:val="007D582B"/>
    <w:rsid w:val="007F7BA1"/>
    <w:rsid w:val="008A32B8"/>
    <w:rsid w:val="008F5DF1"/>
    <w:rsid w:val="00977BE4"/>
    <w:rsid w:val="00987752"/>
    <w:rsid w:val="009C6EFD"/>
    <w:rsid w:val="009D570F"/>
    <w:rsid w:val="00A45286"/>
    <w:rsid w:val="00A5246C"/>
    <w:rsid w:val="00A765A4"/>
    <w:rsid w:val="00A8079F"/>
    <w:rsid w:val="00AB18DF"/>
    <w:rsid w:val="00B30855"/>
    <w:rsid w:val="00B317C0"/>
    <w:rsid w:val="00B418C7"/>
    <w:rsid w:val="00B44A42"/>
    <w:rsid w:val="00B75B0F"/>
    <w:rsid w:val="00B908D2"/>
    <w:rsid w:val="00B9347C"/>
    <w:rsid w:val="00BA1235"/>
    <w:rsid w:val="00BA279C"/>
    <w:rsid w:val="00BA432B"/>
    <w:rsid w:val="00BA449E"/>
    <w:rsid w:val="00BB554D"/>
    <w:rsid w:val="00BC770B"/>
    <w:rsid w:val="00BF2A8E"/>
    <w:rsid w:val="00C00F74"/>
    <w:rsid w:val="00C15764"/>
    <w:rsid w:val="00C20411"/>
    <w:rsid w:val="00C3449D"/>
    <w:rsid w:val="00C44938"/>
    <w:rsid w:val="00C61E29"/>
    <w:rsid w:val="00C91A25"/>
    <w:rsid w:val="00CC1542"/>
    <w:rsid w:val="00CC1923"/>
    <w:rsid w:val="00CD4488"/>
    <w:rsid w:val="00CE3311"/>
    <w:rsid w:val="00D4628D"/>
    <w:rsid w:val="00D5194E"/>
    <w:rsid w:val="00D560F9"/>
    <w:rsid w:val="00D82297"/>
    <w:rsid w:val="00D91FD6"/>
    <w:rsid w:val="00D92F37"/>
    <w:rsid w:val="00DA2103"/>
    <w:rsid w:val="00DC6E8B"/>
    <w:rsid w:val="00E400E0"/>
    <w:rsid w:val="00E76F16"/>
    <w:rsid w:val="00E875E6"/>
    <w:rsid w:val="00EA30C7"/>
    <w:rsid w:val="00EC3235"/>
    <w:rsid w:val="00EE78EB"/>
    <w:rsid w:val="00F143BE"/>
    <w:rsid w:val="00F2423D"/>
    <w:rsid w:val="00F85D3B"/>
    <w:rsid w:val="00FA0F03"/>
    <w:rsid w:val="00FC3BE1"/>
    <w:rsid w:val="00FD246F"/>
    <w:rsid w:val="02922F6E"/>
    <w:rsid w:val="040C0819"/>
    <w:rsid w:val="045521C0"/>
    <w:rsid w:val="068F04FE"/>
    <w:rsid w:val="0A4F76B2"/>
    <w:rsid w:val="0BA457DB"/>
    <w:rsid w:val="0E2D1AB8"/>
    <w:rsid w:val="0E2E29DA"/>
    <w:rsid w:val="10303AE2"/>
    <w:rsid w:val="114415F3"/>
    <w:rsid w:val="11B70A4A"/>
    <w:rsid w:val="11F318F9"/>
    <w:rsid w:val="123D4497"/>
    <w:rsid w:val="15313CFF"/>
    <w:rsid w:val="15B604FA"/>
    <w:rsid w:val="18A35B30"/>
    <w:rsid w:val="18D95227"/>
    <w:rsid w:val="1B1E1106"/>
    <w:rsid w:val="1D7F01E3"/>
    <w:rsid w:val="1E4C7D38"/>
    <w:rsid w:val="1F0C69DD"/>
    <w:rsid w:val="201900EE"/>
    <w:rsid w:val="204F1D62"/>
    <w:rsid w:val="229B303C"/>
    <w:rsid w:val="24AA57B9"/>
    <w:rsid w:val="2692193E"/>
    <w:rsid w:val="273A537C"/>
    <w:rsid w:val="27C449DE"/>
    <w:rsid w:val="294B77A1"/>
    <w:rsid w:val="2B1765E9"/>
    <w:rsid w:val="2C8B4122"/>
    <w:rsid w:val="2D4D7629"/>
    <w:rsid w:val="2D8C0151"/>
    <w:rsid w:val="2E5F5866"/>
    <w:rsid w:val="31B23EFF"/>
    <w:rsid w:val="31B45EC9"/>
    <w:rsid w:val="35386E11"/>
    <w:rsid w:val="379A16BD"/>
    <w:rsid w:val="37C34997"/>
    <w:rsid w:val="399D36E6"/>
    <w:rsid w:val="3B2714BA"/>
    <w:rsid w:val="3C816240"/>
    <w:rsid w:val="3F163D1F"/>
    <w:rsid w:val="3F536D21"/>
    <w:rsid w:val="410F6C78"/>
    <w:rsid w:val="42345F39"/>
    <w:rsid w:val="42F90AD0"/>
    <w:rsid w:val="431A7B56"/>
    <w:rsid w:val="455E1F7C"/>
    <w:rsid w:val="47B656EC"/>
    <w:rsid w:val="47E524E0"/>
    <w:rsid w:val="49647D7D"/>
    <w:rsid w:val="4A404346"/>
    <w:rsid w:val="4C9D4B7B"/>
    <w:rsid w:val="4CC47685"/>
    <w:rsid w:val="4D502AF2"/>
    <w:rsid w:val="4DE4323A"/>
    <w:rsid w:val="4E2A50F1"/>
    <w:rsid w:val="505B462C"/>
    <w:rsid w:val="52D23FA9"/>
    <w:rsid w:val="52F368EA"/>
    <w:rsid w:val="537F7C8D"/>
    <w:rsid w:val="54CD2C7A"/>
    <w:rsid w:val="565A678F"/>
    <w:rsid w:val="57DF519E"/>
    <w:rsid w:val="59126EAD"/>
    <w:rsid w:val="5B2555BE"/>
    <w:rsid w:val="5EE65064"/>
    <w:rsid w:val="5F9316A7"/>
    <w:rsid w:val="60D07D7A"/>
    <w:rsid w:val="61153846"/>
    <w:rsid w:val="631321A0"/>
    <w:rsid w:val="635C3B47"/>
    <w:rsid w:val="641461CF"/>
    <w:rsid w:val="650049A6"/>
    <w:rsid w:val="66E3632D"/>
    <w:rsid w:val="6B9320D0"/>
    <w:rsid w:val="6C884B18"/>
    <w:rsid w:val="6C9A748E"/>
    <w:rsid w:val="6DC5678C"/>
    <w:rsid w:val="6EA94EBD"/>
    <w:rsid w:val="70713086"/>
    <w:rsid w:val="72AB5F51"/>
    <w:rsid w:val="73125FD0"/>
    <w:rsid w:val="732301DD"/>
    <w:rsid w:val="750202C6"/>
    <w:rsid w:val="75A1363B"/>
    <w:rsid w:val="76D0242A"/>
    <w:rsid w:val="76F123A0"/>
    <w:rsid w:val="78AC2A23"/>
    <w:rsid w:val="7CB72A6C"/>
    <w:rsid w:val="7D20753B"/>
    <w:rsid w:val="7D366D5F"/>
    <w:rsid w:val="7DB12889"/>
    <w:rsid w:val="7E835F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3"/>
    <w:semiHidden/>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8"/>
    <w:semiHidden/>
    <w:qFormat/>
    <w:uiPriority w:val="0"/>
    <w:pPr>
      <w:widowControl/>
      <w:kinsoku w:val="0"/>
      <w:autoSpaceDE w:val="0"/>
      <w:autoSpaceDN w:val="0"/>
      <w:adjustRightInd w:val="0"/>
      <w:snapToGrid w:val="0"/>
      <w:jc w:val="left"/>
      <w:textAlignment w:val="baseline"/>
    </w:pPr>
    <w:rPr>
      <w:rFonts w:ascii="仿宋" w:hAnsi="仿宋" w:eastAsia="仿宋" w:cs="仿宋"/>
      <w:snapToGrid w:val="0"/>
      <w:color w:val="000000"/>
      <w:kern w:val="0"/>
      <w:sz w:val="24"/>
      <w:szCs w:val="24"/>
      <w:lang w:eastAsia="en-US"/>
    </w:rPr>
  </w:style>
  <w:style w:type="paragraph" w:styleId="6">
    <w:name w:val="Balloon Text"/>
    <w:basedOn w:val="1"/>
    <w:link w:val="20"/>
    <w:unhideWhenUsed/>
    <w:qFormat/>
    <w:uiPriority w:val="0"/>
    <w:rPr>
      <w:sz w:val="18"/>
      <w:szCs w:val="18"/>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0">
    <w:name w:val="Title"/>
    <w:basedOn w:val="1"/>
    <w:next w:val="1"/>
    <w:link w:val="29"/>
    <w:qFormat/>
    <w:uiPriority w:val="0"/>
    <w:pPr>
      <w:spacing w:before="240" w:after="60"/>
      <w:jc w:val="center"/>
      <w:outlineLvl w:val="0"/>
    </w:pPr>
    <w:rPr>
      <w:rFonts w:ascii="Arial" w:hAnsi="Arial" w:eastAsia="宋体" w:cs="Times New Roman"/>
      <w:b/>
      <w:szCs w:val="24"/>
    </w:rPr>
  </w:style>
  <w:style w:type="character" w:styleId="13">
    <w:name w:val="Strong"/>
    <w:basedOn w:val="12"/>
    <w:qFormat/>
    <w:uiPriority w:val="22"/>
    <w:rPr>
      <w:b/>
    </w:rPr>
  </w:style>
  <w:style w:type="character" w:styleId="14">
    <w:name w:val="Emphasis"/>
    <w:basedOn w:val="12"/>
    <w:qFormat/>
    <w:uiPriority w:val="20"/>
    <w:rPr>
      <w:i/>
    </w:rPr>
  </w:style>
  <w:style w:type="character" w:styleId="15">
    <w:name w:val="Hyperlink"/>
    <w:basedOn w:val="12"/>
    <w:autoRedefine/>
    <w:qFormat/>
    <w:uiPriority w:val="0"/>
    <w:rPr>
      <w:color w:val="0000FF"/>
      <w:u w:val="single"/>
    </w:rPr>
  </w:style>
  <w:style w:type="character" w:customStyle="1" w:styleId="16">
    <w:name w:val="页眉 Char"/>
    <w:basedOn w:val="12"/>
    <w:link w:val="8"/>
    <w:qFormat/>
    <w:uiPriority w:val="99"/>
    <w:rPr>
      <w:sz w:val="18"/>
      <w:szCs w:val="18"/>
    </w:rPr>
  </w:style>
  <w:style w:type="character" w:customStyle="1" w:styleId="17">
    <w:name w:val="页脚 Char"/>
    <w:basedOn w:val="12"/>
    <w:link w:val="7"/>
    <w:autoRedefine/>
    <w:qFormat/>
    <w:uiPriority w:val="99"/>
    <w:rPr>
      <w:sz w:val="18"/>
      <w:szCs w:val="18"/>
    </w:rPr>
  </w:style>
  <w:style w:type="character" w:customStyle="1" w:styleId="18">
    <w:name w:val="标题 1 Char"/>
    <w:basedOn w:val="12"/>
    <w:link w:val="2"/>
    <w:autoRedefine/>
    <w:qFormat/>
    <w:uiPriority w:val="9"/>
    <w:rPr>
      <w:rFonts w:ascii="宋体" w:hAnsi="宋体" w:eastAsia="宋体" w:cs="宋体"/>
      <w:b/>
      <w:bCs/>
      <w:kern w:val="36"/>
      <w:sz w:val="48"/>
      <w:szCs w:val="48"/>
    </w:rPr>
  </w:style>
  <w:style w:type="character" w:customStyle="1" w:styleId="19">
    <w:name w:val="标题 2 Char"/>
    <w:basedOn w:val="12"/>
    <w:link w:val="3"/>
    <w:qFormat/>
    <w:uiPriority w:val="9"/>
    <w:rPr>
      <w:rFonts w:asciiTheme="majorHAnsi" w:hAnsiTheme="majorHAnsi" w:eastAsiaTheme="majorEastAsia" w:cstheme="majorBidi"/>
      <w:b/>
      <w:bCs/>
      <w:sz w:val="32"/>
      <w:szCs w:val="32"/>
    </w:rPr>
  </w:style>
  <w:style w:type="character" w:customStyle="1" w:styleId="20">
    <w:name w:val="批注框文本 Char"/>
    <w:basedOn w:val="12"/>
    <w:link w:val="6"/>
    <w:qFormat/>
    <w:uiPriority w:val="0"/>
    <w:rPr>
      <w:sz w:val="18"/>
      <w:szCs w:val="18"/>
    </w:rPr>
  </w:style>
  <w:style w:type="paragraph" w:customStyle="1" w:styleId="21">
    <w:name w:val="sec"/>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2">
    <w:name w:val="日期1"/>
    <w:basedOn w:val="12"/>
    <w:qFormat/>
    <w:uiPriority w:val="0"/>
  </w:style>
  <w:style w:type="character" w:customStyle="1" w:styleId="23">
    <w:name w:val="标题 3 Char"/>
    <w:basedOn w:val="12"/>
    <w:link w:val="4"/>
    <w:semiHidden/>
    <w:qFormat/>
    <w:uiPriority w:val="9"/>
    <w:rPr>
      <w:b/>
      <w:bCs/>
      <w:sz w:val="32"/>
      <w:szCs w:val="32"/>
    </w:rPr>
  </w:style>
  <w:style w:type="character" w:customStyle="1" w:styleId="24">
    <w:name w:val="日期2"/>
    <w:basedOn w:val="12"/>
    <w:autoRedefine/>
    <w:qFormat/>
    <w:uiPriority w:val="0"/>
  </w:style>
  <w:style w:type="character" w:customStyle="1" w:styleId="25">
    <w:name w:val="NormalCharacter"/>
    <w:autoRedefine/>
    <w:qFormat/>
    <w:uiPriority w:val="0"/>
    <w:rPr>
      <w:kern w:val="2"/>
      <w:sz w:val="21"/>
      <w:szCs w:val="24"/>
      <w:lang w:val="en-US" w:eastAsia="zh-CN" w:bidi="ar-SA"/>
    </w:rPr>
  </w:style>
  <w:style w:type="paragraph" w:customStyle="1" w:styleId="26">
    <w:name w:val="_Style 7"/>
    <w:basedOn w:val="1"/>
    <w:next w:val="1"/>
    <w:qFormat/>
    <w:uiPriority w:val="0"/>
    <w:pPr>
      <w:pBdr>
        <w:bottom w:val="single" w:color="auto" w:sz="6" w:space="1"/>
      </w:pBdr>
      <w:jc w:val="center"/>
    </w:pPr>
    <w:rPr>
      <w:rFonts w:ascii="Arial" w:eastAsia="宋体"/>
      <w:vanish/>
      <w:sz w:val="16"/>
    </w:rPr>
  </w:style>
  <w:style w:type="paragraph" w:customStyle="1" w:styleId="27">
    <w:name w:val="_Style 8"/>
    <w:basedOn w:val="1"/>
    <w:next w:val="1"/>
    <w:qFormat/>
    <w:uiPriority w:val="0"/>
    <w:pPr>
      <w:pBdr>
        <w:top w:val="single" w:color="auto" w:sz="6" w:space="1"/>
      </w:pBdr>
      <w:jc w:val="center"/>
    </w:pPr>
    <w:rPr>
      <w:rFonts w:ascii="Arial" w:eastAsia="宋体"/>
      <w:vanish/>
      <w:sz w:val="16"/>
    </w:rPr>
  </w:style>
  <w:style w:type="character" w:customStyle="1" w:styleId="28">
    <w:name w:val="正文文本 Char"/>
    <w:basedOn w:val="12"/>
    <w:link w:val="5"/>
    <w:semiHidden/>
    <w:qFormat/>
    <w:uiPriority w:val="0"/>
    <w:rPr>
      <w:rFonts w:ascii="仿宋" w:hAnsi="仿宋" w:eastAsia="仿宋" w:cs="仿宋"/>
      <w:snapToGrid w:val="0"/>
      <w:color w:val="000000"/>
      <w:sz w:val="24"/>
      <w:szCs w:val="24"/>
      <w:lang w:eastAsia="en-US"/>
    </w:rPr>
  </w:style>
  <w:style w:type="character" w:customStyle="1" w:styleId="29">
    <w:name w:val="标题 Char"/>
    <w:basedOn w:val="12"/>
    <w:link w:val="10"/>
    <w:qFormat/>
    <w:uiPriority w:val="0"/>
    <w:rPr>
      <w:rFonts w:ascii="Arial" w:hAnsi="Arial" w:eastAsia="宋体" w:cs="Times New Roman"/>
      <w:b/>
      <w:kern w:val="2"/>
      <w:sz w:val="21"/>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ylmfeng.com</Company>
  <Pages>71</Pages>
  <Words>28144</Words>
  <Characters>28252</Characters>
  <Lines>140</Lines>
  <Paragraphs>39</Paragraphs>
  <TotalTime>9</TotalTime>
  <ScaleCrop>false</ScaleCrop>
  <LinksUpToDate>false</LinksUpToDate>
  <CharactersWithSpaces>28697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2024-05-23T01:43:00Z</dcterms:created>
  <dc:creator>张鑫</dc:creator>
  <cp:lastModifiedBy>ming。</cp:lastModifiedBy>
  <dcterms:modified xsi:type="dcterms:W3CDTF">2024-12-27T00:35:39Z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C22DD69E7C074D078D48FA92287ECDD5_13</vt:lpwstr>
  </property>
  <property fmtid="{D5CDD505-2E9C-101B-9397-08002B2CF9AE}" pid="4" name="KSOTemplateDocerSaveRecord">
    <vt:lpwstr>eyJoZGlkIjoiYTZmMjJmMzliMGRhMDNkMDRjMWQ2OWM1NTE0ZGNmNmYiLCJ1c2VySWQiOiI2MjE5NDQxOTYifQ==</vt:lpwstr>
  </property>
</Properties>
</file>